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cf98c3e8eb4f08" /></Relationships>
</file>

<file path=word/document.xml><?xml version="1.0" encoding="utf-8"?>
<w:document xmlns:w="http://schemas.openxmlformats.org/wordprocessingml/2006/main">
  <w:body>
    <w:tbl>
      <w:tblPr>
        <w:tblW w:w="9000" w:type="dxa"/>
        <w:tblBorders>
          <w:top w:val="nil"/>
          <w:bottom w:val="nil"/>
          <w:left w:val="nil"/>
          <w:right w:val="nil"/>
          <w:insideH w:val="nil"/>
          <w:insideV w:val="nil"/>
        </w:tblBorders>
        <w:tblCellSpacing w:w="60" w:type="dxa"/>
        <w:shd w:val="clear" w:color="auto" w:fill="E7F0F9"/>
      </w:tblPr>
      <w:tblGrid>
        <w:gridCol w:w="1200"/>
        <w:gridCol w:w="4500"/>
      </w:tblGrid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RKP broj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32297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Naziv obveznika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BRODSKO-POSAVSKA ŽUPANIJA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Razina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22</w:t>
            </w:r>
          </w:p>
        </w:tc>
      </w:tr>
    </w:tbl>
    <w:p>
      <w:r>
        <w:br/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BILJEŠKE UZ FINANCIJSKE IZVJEŠTAJE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ZA RAZDOBLJE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I - XII 2025.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prihodima i rashodima, primicima i izdacima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0" w:type="auto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POSLOVANJA (šifre 61+62+63+64+65+66+67+68)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30.685.965,02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35.188.489,05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114,7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POSLOVANJA (šifre 31+32+34+35+36+37+38)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24.534.906,12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25.946.618,72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105,8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PRIHODA POSLOVANJA (šifre 6-Z005)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6.151.058,90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9.241.870,33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150,2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prodaje nefinancijske imovine (šifre 71+72+73+74)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61.697,19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40.467,18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65,6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nabavu nefinancijske imovine (šifre 41+42+43+44+45)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2.563.234,85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4.593.995,20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179,2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PRIHODA OD NEFINANCIJSKE IMOVINE (šifre 4-7)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2.501.537,66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4.553.528,02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182,0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Primici od financijske imovine i zaduživanja (šifre 81+82+83+84+85)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19.078,82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Izdaci za financijsku imovinu i otplate zajmova (šifre 51+52+53+54+55)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1.707.676,94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1.868.837,58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109,4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PRIMITAKA OD FINANCIJSKE IMOVINE I ZADUŽIVANJA (šifre 5-8)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1.688.598,12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1.868.837,58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110,7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PRIHODA I PRIMITAKA (šifre X678-Y345)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1.960.923,12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2.819.504,73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143,8</w:t>
            </w:r>
          </w:p>
        </w:tc>
      </w:tr>
    </w:tbl>
    <w:p>
      <w:pPr>
        <w:spacing w:before="0" w:after="0"/>
      </w:pPr>
    </w:p>
    <w:p>
      <w:r>
        <w:t xml:space="preserve">Brodsko posavska županija  je u razdoblju  1.1. do 31.12.2025.g ostvarila višak prihoda u  iznosu od 2.819.504,73 eura.</w:t>
      </w:r>
    </w:p>
    <w:p>
      <w:r>
        <w:t xml:space="preserve">Rezultat je to ostvarenog viška prihoda poslovanja u iznosu od 9.315.073,99 eura i manjka prihoda od nefinancijske imovine u iznosu od 4.731,68 eura, ta manjka prihoda od financijske imovine  u iznosu od 1.868.837.,58 eura. U odnosu na prethodnu indeks izvršenja je 143,8%.</w:t>
      </w:r>
    </w:p>
    <w:p>
      <w:r>
        <w:br/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POSLOVANJA (šifre 61+62+63+64+65+66+67+68)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30.685.965,02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35.188.489,05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114,7</w:t>
            </w:r>
          </w:p>
        </w:tc>
      </w:tr>
    </w:tbl>
    <w:p>
      <w:pPr>
        <w:spacing w:before="0" w:after="0"/>
      </w:pPr>
    </w:p>
    <w:p>
      <w:r>
        <w:t xml:space="preserve">Prihodi poslovanja razreda 6,u odnosu na prethodnu godinu izvršeni  su  sa 35.118.489,05 eura , index 118,8 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Porez na dohodak od kapitala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880.063,17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1.131.218,48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128,5</w:t>
            </w:r>
          </w:p>
        </w:tc>
      </w:tr>
    </w:tbl>
    <w:p>
      <w:pPr>
        <w:spacing w:before="0" w:after="0"/>
      </w:pPr>
    </w:p>
    <w:p>
      <w:r>
        <w:t xml:space="preserve">Na ovo stavci vidljivo je značajnije povećanje prihoda od poreza na dohodak od kapitala ( Raspored Fine), u izvještajnom razdoblju je ostvareno 1.131.218,48 eura, index 128,5.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Porez na nasljedstva i darove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34.782,94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80.762,96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232,2</w:t>
            </w:r>
          </w:p>
        </w:tc>
      </w:tr>
    </w:tbl>
    <w:p>
      <w:pPr>
        <w:spacing w:before="0" w:after="0"/>
      </w:pPr>
    </w:p>
    <w:p>
      <w:r>
        <w:t xml:space="preserve">6132-porez na nasljedstva i darove bilježi  znatno povećanje u odnosu na prethodnu godinu, indeks 232,2, ostvarenje 80.762,96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Tekuće pomoći proračunu i izvanproračunskim korisnicima iz drugih proračuna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7.284.350,38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6.923.361,16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95,0</w:t>
            </w:r>
          </w:p>
        </w:tc>
      </w:tr>
    </w:tbl>
    <w:p>
      <w:pPr>
        <w:spacing w:before="0" w:after="0"/>
      </w:pPr>
    </w:p>
    <w:p>
      <w:r>
        <w:t xml:space="preserve">6331-Tekuće pomoći proračunu i proračunskim korisnicima- sadrže tekuće  pomoći iz državnog proračuna odnosno pojedinih ministarstava. Značajnih odstupanja nema u odnosu na isto razdoblje prethodne godine.  Unutar ovih pomoći ,u iznosu od 6.923.361,16 eura se  nalaze se:</w:t>
      </w:r>
    </w:p>
    <w:p>
      <w:pPr>
        <w:pStyle w:val="ListParagraph"/>
        <w:numPr>
          <w:ilvl w:val="0"/>
          <w:numId w:val="2"/>
        </w:numPr>
      </w:pPr>
      <w:r>
        <w:t xml:space="preserve">tekuća pomoć Državnog proračuna za otplatu glavnice kredita za zdravstvene ustanove u iznosu od 1.832.007,92 eura,  </w:t>
      </w:r>
    </w:p>
    <w:p>
      <w:pPr>
        <w:pStyle w:val="ListParagraph"/>
        <w:numPr>
          <w:ilvl w:val="0"/>
          <w:numId w:val="2"/>
        </w:numPr>
      </w:pPr>
      <w:r>
        <w:t xml:space="preserve">1.592.674,00 eura odnosi se na doznaku sredstava iz Državnog proračuna, za plaće službenike preuzetih iz Ureda državne uprave.</w:t>
      </w:r>
    </w:p>
    <w:p>
      <w:pPr>
        <w:pStyle w:val="ListParagraph"/>
        <w:numPr>
          <w:ilvl w:val="0"/>
          <w:numId w:val="2"/>
        </w:numPr>
      </w:pPr>
      <w:r>
        <w:t xml:space="preserve">332.297,83 eura je doznaka sredstava iz Državnog proračuna za predsjedničke izbore.  2.522,53 eura se odnosi na tekuće pomoći Ministarstva za subvencije kamata,-</w:t>
      </w:r>
    </w:p>
    <w:p>
      <w:pPr>
        <w:pStyle w:val="ListParagraph"/>
        <w:numPr>
          <w:ilvl w:val="0"/>
          <w:numId w:val="2"/>
        </w:numPr>
      </w:pPr>
      <w:r>
        <w:t xml:space="preserve">1.963.922,19 eura su sredstva pristigla za sufinanciranje prijevoza učenika srednjih škola.</w:t>
      </w:r>
    </w:p>
    <w:p>
      <w:pPr>
        <w:pStyle w:val="ListParagraph"/>
        <w:numPr>
          <w:ilvl w:val="0"/>
          <w:numId w:val="2"/>
        </w:numPr>
      </w:pPr>
      <w:r>
        <w:t xml:space="preserve">6.517,32 eura je tekuće pomoći iz općinskih proračuna za sudjelovanje u troškovima dopunskih izbora.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Kapitalne pomoći od izvanproračunskih korisnika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38.973,00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97.828,00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251,0</w:t>
            </w:r>
          </w:p>
        </w:tc>
      </w:tr>
    </w:tbl>
    <w:p>
      <w:pPr>
        <w:spacing w:before="0" w:after="0"/>
      </w:pPr>
    </w:p>
    <w:p>
      <w:r>
        <w:t xml:space="preserve">Kapitalne pomoći od izvanproračunskih korisnika sadrže prihod od kapitalnih pomoći  uplaćene od strane Hrvatskih voda za ulaganje u sustav navodnjavanja. Ostvarenje iznosi 97.828,00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Tekuće pomoći temeljem prijenosa EU sredstava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704.112,85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1.005.660,60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142,8</w:t>
            </w:r>
          </w:p>
        </w:tc>
      </w:tr>
    </w:tbl>
    <w:p>
      <w:pPr>
        <w:spacing w:before="0" w:after="0"/>
      </w:pPr>
    </w:p>
    <w:p>
      <w:r>
        <w:t xml:space="preserve">6381-Tekuće pomoći  temeljem prijenosa EU sredstava odnose se na :</w:t>
      </w:r>
    </w:p>
    <w:p>
      <w:pPr>
        <w:pStyle w:val="ListParagraph"/>
        <w:numPr>
          <w:ilvl w:val="0"/>
          <w:numId w:val="2"/>
        </w:numPr>
      </w:pPr>
      <w:r>
        <w:t xml:space="preserve">Sredstva projekta „S osmjehom u školu 6 i 7“ u iznosu od 955.708,86 eura</w:t>
      </w:r>
    </w:p>
    <w:p>
      <w:pPr>
        <w:pStyle w:val="ListParagraph"/>
        <w:numPr>
          <w:ilvl w:val="0"/>
          <w:numId w:val="2"/>
        </w:numPr>
      </w:pPr>
      <w:r>
        <w:t xml:space="preserve">„Školska shema“-mlijeko , voće i povrće u školama- u iznosu od 49.801,45 eura</w:t>
      </w:r>
    </w:p>
    <w:p>
      <w:pPr>
        <w:pStyle w:val="ListParagraph"/>
        <w:numPr>
          <w:ilvl w:val="0"/>
          <w:numId w:val="2"/>
        </w:numPr>
      </w:pPr>
      <w:r>
        <w:t xml:space="preserve">Socijalni plan BPŽ- 95,29 eura</w:t>
      </w:r>
    </w:p>
    <w:p>
      <w:pPr>
        <w:pStyle w:val="ListParagraph"/>
        <w:numPr>
          <w:ilvl w:val="0"/>
          <w:numId w:val="2"/>
        </w:numPr>
      </w:pPr>
      <w:r>
        <w:t xml:space="preserve">„Medni dan“-55,00 eura</w:t>
      </w:r>
    </w:p>
    <w:p>
      <w:r>
        <w:t xml:space="preserve">U odnosu na prethodnu godinu izvršenje je veće za 42,8%.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Kapitalne pomoći temeljem prijenosa EU sredstava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774.057,58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208.953,62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27,0</w:t>
            </w:r>
          </w:p>
        </w:tc>
      </w:tr>
    </w:tbl>
    <w:p>
      <w:pPr>
        <w:spacing w:before="0" w:after="0"/>
      </w:pPr>
    </w:p>
    <w:p>
      <w:r>
        <w:t xml:space="preserve">6382 -Kapitalne pomoći  temeljem prijenosa EU-smanjene su odnosu na prethodnu godinu za 73%, i iznose 208.953,62 eura. Sredstva se odnose na započeta ulaganja  iz NPOO. (školske i zdravstvene ustanove).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Kamate na oročena sredstva i depozite po viđenju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16.790,99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27.671,82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164,8</w:t>
            </w:r>
          </w:p>
        </w:tc>
      </w:tr>
    </w:tbl>
    <w:p>
      <w:pPr>
        <w:spacing w:before="0" w:after="0"/>
      </w:pPr>
    </w:p>
    <w:p>
      <w:r>
        <w:t xml:space="preserve">6413-Kamate na oročena sredstva i depozite po viđenju- u odnosu na prethodnu godinu izvršenje ove stavke je povećano na 27.671,82 eura, indeks 164,8. 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Plaće za redovan rad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3.335.553,06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4.862.934,02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145,8</w:t>
            </w:r>
          </w:p>
        </w:tc>
      </w:tr>
    </w:tbl>
    <w:p>
      <w:pPr>
        <w:spacing w:before="0" w:after="0"/>
      </w:pPr>
    </w:p>
    <w:p>
      <w:r>
        <w:t xml:space="preserve">Povećanje na grupi šifre 3111-Plaće-u odnosu na isto razdoblje prethodne godine vidljivo je povećanje, indeks izvršenja 163,2% radi povećanje osnovice za plaće službenicima i namještenicima Županijske uprave od mjeseca siječnja i mjeseca rujna 2025.g. Izvršenje ove skupine rashodi iznosi  4.862.934,02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Usluge telefona, interneta, pošte i prijevoza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124.932,40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1.637.718,46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1310,9</w:t>
            </w:r>
          </w:p>
        </w:tc>
      </w:tr>
    </w:tbl>
    <w:p>
      <w:pPr>
        <w:spacing w:before="0" w:after="0"/>
      </w:pPr>
    </w:p>
    <w:p>
      <w:r>
        <w:t xml:space="preserve">Šifra 3231- Usluge telefona, interneta i prijevoza- sadrži rashode za prijevoz učenika SŠ, rashode za usluge telefona,. Izvršenje ove skupine u izvještajnom razdoblju iznosi  1.637.718,46 eura i što je značajno povećanje u odnosu na isto razdoblje prethodne godine s indeksom od 1.310,9.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367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Prijenosi proračunskim korisnicima iz nadležnog proračuna za financiranje redovne djelatnosti (šifre 3672 do 3674)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367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9.265.886,85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4.304.341,11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46,5</w:t>
            </w:r>
          </w:p>
        </w:tc>
      </w:tr>
    </w:tbl>
    <w:p>
      <w:pPr>
        <w:spacing w:before="0" w:after="0"/>
      </w:pPr>
    </w:p>
    <w:p>
      <w:r>
        <w:t xml:space="preserve">1.       Šifra 367- Prikazuje prijenos sredstava proračunskim korisnicima iz nadležnosti  u ukupnom iznosu od 4.304.341,11  €. I u odnosu na prethodnu godinu bilježi smanjenje, indeks 46,5%.</w:t>
      </w:r>
    </w:p>
    <w:p>
      <w:r>
        <w:t xml:space="preserve">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369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Prijenosi između proračunskih korisnika istog proračuna (šifre 3691 do 3694)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369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702.863,57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1.377.816,05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196,0</w:t>
            </w:r>
          </w:p>
        </w:tc>
      </w:tr>
    </w:tbl>
    <w:p>
      <w:pPr>
        <w:spacing w:before="0" w:after="0"/>
      </w:pPr>
    </w:p>
    <w:p>
      <w:r>
        <w:t xml:space="preserve">1.       Rashodi ove skupine sadrže prijenose sredstava  između proračunskih korisnika a radi se o sredstvima za Pomoćnike  u nastavi. Ukupan iznos u ovom razdoblju je 1.377.816,05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VIŠAK PRIHODA POSLOVANJA (šifre 6-Z005)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X001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6.151.058,90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9.241.870,33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150,2</w:t>
            </w:r>
          </w:p>
        </w:tc>
      </w:tr>
    </w:tbl>
    <w:p>
      <w:pPr>
        <w:spacing w:before="0" w:after="0"/>
      </w:pPr>
    </w:p>
    <w:p>
      <w:r>
        <w:t xml:space="preserve">X001-Ostvareni višak prihoda poslovanja veći je u odnosu na prethodnu godinu i iznosi 9.241.870,33 eura, indeks 150,2., a njega je utjecao veći priljev proračunskih prihoda poslovanja.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Zemljište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40.375,00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4111- evidentirana je troškovi za kupnja zemljišta za Veteranski dom u iznosu od  40.375,00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nabavu proizvedene dugotrajne imovine (šifre 421+422+423+424+425+426)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716.163,99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2.030.896,68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283,6</w:t>
            </w:r>
          </w:p>
        </w:tc>
      </w:tr>
    </w:tbl>
    <w:p>
      <w:pPr>
        <w:spacing w:before="0" w:after="0"/>
      </w:pPr>
    </w:p>
    <w:p>
      <w:r>
        <w:t xml:space="preserve">42- Rashodi za nabavu proizvedene dugotrajne imovine, koji su ostvareni u iznosu od 2.030.896,68 eura , jer su pojačane aktivnosti nabave opreme za potrebe rada upravnih odjela BPŽ. Također evidentirana su i ulaganja u zgrade kulturnih institucija,  navodnjavanje Biđ, RTICS  i dr.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Prijevozna sredstva u cestovnom prometu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719.455,64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4231- evidentirane kupnje vozila za potrebe HGSS-a, Zavoda za hitnu medicinu i Doma zdravlja BPŽ u iznosu od 719.455,64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Dodatna ulaganja na građevinskim objektima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1.847.070,86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2.519.550,77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136,4</w:t>
            </w:r>
          </w:p>
        </w:tc>
      </w:tr>
    </w:tbl>
    <w:p>
      <w:pPr>
        <w:spacing w:before="0" w:after="0"/>
      </w:pPr>
    </w:p>
    <w:p>
      <w:r>
        <w:t xml:space="preserve">45-Rashodi za dodatna ulaganja, 2.519.550,77 eura., odnosi se na ulaganja u energetske obnove, dogradnje i izgradnje  na objektima -školskim ustanovama  i Domu zdravlja BPŽ u Novoj Gradišci.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MANJAK PRIHODA OD NEFINANCIJSKE IMOVINE (šifre 4-7)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Y002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2.501.537,66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4.553.528,02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182,0</w:t>
            </w:r>
          </w:p>
        </w:tc>
      </w:tr>
    </w:tbl>
    <w:p>
      <w:pPr>
        <w:spacing w:before="0" w:after="0"/>
      </w:pPr>
    </w:p>
    <w:p>
      <w:r>
        <w:t xml:space="preserve">Ostvaren je manjak prihoda od 4.553.528,02 eura, u odnosu na prethodnu godinu. Indeks 182,0. Razlog povećanja manjka su ostvarena veća ulaganja na nefinancijskoj imovini.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UKUPAN VIŠAK PRIHODA (šifre X067-Y034)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X004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3.649.521,24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4.688.342,31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128,5</w:t>
            </w:r>
          </w:p>
        </w:tc>
      </w:tr>
    </w:tbl>
    <w:p>
      <w:pPr>
        <w:spacing w:before="0" w:after="0"/>
      </w:pPr>
    </w:p>
    <w:p>
      <w:r>
        <w:t xml:space="preserve">X004-Ostvareni višak prihoda iznosi 4.688.342,31 eura, indeks 128,5.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Izdaci za financijsku imovinu i otplate zajmova (šifre 51+52+53+54+55)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1.707.676,94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1.868.837,58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109,4</w:t>
            </w:r>
          </w:p>
        </w:tc>
      </w:tr>
    </w:tbl>
    <w:p>
      <w:pPr>
        <w:spacing w:before="0" w:after="0"/>
      </w:pPr>
    </w:p>
    <w:p>
      <w:r>
        <w:t xml:space="preserve">Šifra 5 - daje nam stanja izdataka za  otplatu zajmova i depozita- u iznosu od 1.868.837,58 eura. Otplata  cijele glavnice dugoročnog kredita (PBZ) OB Slavonski Brod i OB Nova Gradiška, te dospjelih rata za Dom za stare i nemoćne SB. Sredstva za otplatu cijele glavnice kredita za zdravstvene ustanove pristigla su kao pomoć iz Državnog proračuna i krediti su otplaćeni u cijelosti. Kredit Doma za stare i nemoćne je i nadalje aktivan.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MANJAK PRIMITAKA OD FINANCIJSKE IMOVINE I ZADUŽIVANJA (šifre 5-8)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Y003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1.688.598,12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1.868.837,58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110,7</w:t>
            </w:r>
          </w:p>
        </w:tc>
      </w:tr>
    </w:tbl>
    <w:p>
      <w:pPr>
        <w:spacing w:before="0" w:after="0"/>
      </w:pPr>
    </w:p>
    <w:p>
      <w:r>
        <w:t xml:space="preserve">X004-Ostvareni manjak prihoda od financijske imovine veći je u odnosu na prethodnu godinu i iznosi 1.868.837,58 eura, indeks 110,7.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Bilanca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IMOVINA (šifre B002+1)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B001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35.523.104,83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37.822.896,09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106,5</w:t>
            </w:r>
          </w:p>
        </w:tc>
      </w:tr>
    </w:tbl>
    <w:p>
      <w:pPr>
        <w:spacing w:before="0" w:after="0"/>
      </w:pPr>
    </w:p>
    <w:p>
      <w:r>
        <w:t xml:space="preserve">B001-U odnosu na prethodnu godinu  na ovoj stavci vidljivo je povećanje u vrijednosti imovine  , i na dan 31.12. iznosi 37.822.896,09 eura, indeks106,5.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Građevinski objekti u pripremi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394.079,62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626.908,81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159,1</w:t>
            </w:r>
          </w:p>
        </w:tc>
      </w:tr>
    </w:tbl>
    <w:p>
      <w:pPr>
        <w:spacing w:before="0" w:after="0"/>
      </w:pPr>
    </w:p>
    <w:p>
      <w:r>
        <w:t xml:space="preserve">Na šifri 051- bilježimo povećanje stavke dodatnih ulaganja, radi evidentiranja ulaganja u sustav navodnjavanja BIĐ, sustav navodnjavanja Gundinci, RTICS, te ulaganje u pripremne radnje za izgradnju Veteranskog doma. Stanje na dan 31.12. iznosi 626.908,81, indeks 159,1.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I VLASTITI IZVORI (šifre 2+9)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B003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35.523.104,83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37.822.896,09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106,5</w:t>
            </w:r>
          </w:p>
        </w:tc>
      </w:tr>
    </w:tbl>
    <w:p>
      <w:pPr>
        <w:spacing w:before="0" w:after="0"/>
      </w:pPr>
    </w:p>
    <w:p>
      <w:r>
        <w:t xml:space="preserve">B003- daje nam stanje obveza i izvora vlasništva koje je jednako stanju  imovine na dan 31.12.2025.g., 37.822.896,09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Ostale tekuće obveze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4.316.382,61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1.222.994,61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28,3</w:t>
            </w:r>
          </w:p>
        </w:tc>
      </w:tr>
    </w:tbl>
    <w:p>
      <w:pPr>
        <w:spacing w:before="0" w:after="0"/>
      </w:pPr>
    </w:p>
    <w:p>
      <w:r>
        <w:t xml:space="preserve">239- Kod ove stavke došlo je do ukupnog smanjena, a radi primjene i knjiženja na novim kontima za pojedine obveze koje su bile evidentirane na ovoj šifri.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Obveze za predujmove, depozite, jamčevne pologe i tuđe prihode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373.181,29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2.876.517,29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770,8</w:t>
            </w:r>
          </w:p>
        </w:tc>
      </w:tr>
    </w:tbl>
    <w:p>
      <w:pPr>
        <w:spacing w:before="0" w:after="0"/>
      </w:pPr>
    </w:p>
    <w:p>
      <w:r>
        <w:t xml:space="preserve">27- na ovoj stavci bilježimo povećanje , a radi primjena novih konta iz računskog plana koji je u primjeni  od 1.1.2025 g. (239/27)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1. siječnja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Stanje 31. prosinca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Izvanbilančni zapisi - pasiva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996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6.077.885,20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34.852.022,51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573,4</w:t>
            </w:r>
          </w:p>
        </w:tc>
      </w:tr>
    </w:tbl>
    <w:p>
      <w:pPr>
        <w:spacing w:before="0" w:after="0"/>
      </w:pPr>
    </w:p>
    <w:p>
      <w:r>
        <w:t xml:space="preserve">1.       996- Izvanbilančni zapisi- pasiva, sadrže evidencije:</w:t>
      </w:r>
    </w:p>
    <w:p>
      <w:r>
        <w:t xml:space="preserve">-Instrumenti osiguranja plaćanja-dane zadužnice</w:t>
      </w:r>
    </w:p>
    <w:p>
      <w:r>
        <w:t xml:space="preserve">- Instrumenti osiguranja plaćanja-primljene zadužnice</w:t>
      </w:r>
    </w:p>
    <w:p>
      <w:r>
        <w:t xml:space="preserve">- Potencijalne obveze po osnovi sudskih sporova u tijeku</w:t>
      </w:r>
    </w:p>
    <w:p>
      <w:r>
        <w:t xml:space="preserve">- Preuzete obveze po ugovorima o nabavi roba, radova i usluga</w:t>
      </w:r>
    </w:p>
    <w:p>
      <w:r>
        <w:t xml:space="preserve">- Potraživanja po ugovorima o dodijeljenim bespovratnim sredstvima iz EU fondova</w:t>
      </w:r>
    </w:p>
    <w:p>
      <w:r>
        <w:t xml:space="preserve">Stanje na dan 31.12. iznosi 34.852.022,41 eura.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rashodima prema funkcijskoj klasifikaciji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Izvršna i zakonodavna tijela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1.424.408,80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1.826.053,32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128,2</w:t>
            </w:r>
          </w:p>
        </w:tc>
      </w:tr>
    </w:tbl>
    <w:p>
      <w:pPr>
        <w:spacing w:before="0" w:after="0"/>
      </w:pPr>
    </w:p>
    <w:p>
      <w:r>
        <w:t xml:space="preserve">0111- Stanje ove funkcije u odnosu na prethodnu godinu bilježi povećanje, ostvareno je 1.826.053,32 eura , indeks128,2., a radi povećanih izdataka oko lokalnih izbora u 2025.g.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0421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Poljoprivreda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0421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879.731,05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1.366.634,47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155,3</w:t>
            </w:r>
          </w:p>
        </w:tc>
      </w:tr>
    </w:tbl>
    <w:p>
      <w:pPr>
        <w:spacing w:before="0" w:after="0"/>
      </w:pPr>
    </w:p>
    <w:p>
      <w:r>
        <w:t xml:space="preserve">0421- Ulaganja u poljoprivredu, funkcija koja je u odnosu na prethodnu godinu povećana, ostvarenje 1.366.634,47 eura, indeks 155,,3, a radi povećanih subvencija prema poljoprivrednicima  radi razvoja poljoprivrednih djelatnosti.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074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Službe javnog zdravstva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074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248.919,00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1.602.370,99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643,7</w:t>
            </w:r>
          </w:p>
        </w:tc>
      </w:tr>
    </w:tbl>
    <w:p>
      <w:pPr>
        <w:spacing w:before="0" w:after="0"/>
      </w:pPr>
    </w:p>
    <w:p>
      <w:r>
        <w:t xml:space="preserve">0740- Ulaganja u ovoj godini povećanja radi kupnje vozila za hitnu medicinu i sanitetski prijevoz, ostvarenje iznosi 1.602.370,99 eura, indeks 643,7.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Kontrolni zbroj (šifre 01+02+03+04+05+06+07+08+09+10)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17.832.254,12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26.236.272,81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147,1</w:t>
            </w:r>
          </w:p>
        </w:tc>
      </w:tr>
    </w:tbl>
    <w:p>
      <w:pPr>
        <w:spacing w:before="0" w:after="0"/>
      </w:pPr>
    </w:p>
    <w:p>
      <w:r>
        <w:t xml:space="preserve">Ovaj izvještaj donosi nam stanje po pojedinim funkcijama ,a istovjetan je zbroju rashoda poslovanja, rashoda za nabavu nefinancijske imovine nakon što se oduzme iznos sa šifre 367 iz PRRAS-a. Ostvareno u 2025.g. 26.236.272,81 eura, indeks 147,1.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Promjene u vrijednosti i obujmu imovine i obveza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 povećanja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 smanjenja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Promjene u obujmu nefinancijske imovine (šifre P017 do P022)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P016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5.307.644,65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Smanjenje obujma i vrijednosti imovine, a radi prijenosa ulaganja proračunskih korisnika, te obračunatog ispravka vrijednosti  i rashoda imovine . Ukupno umanjenje 5.314.544,65 eura.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obvezama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Stanje dospjelih obveza na kraju izvještajnog razdoblja (šifre V008+D23+D24 + 'D dio 25,26' + D27)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V007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947.576,33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Stanje dospjelih obveza na dan 31.12.2025. iznosi  947.576,33 eura i u najvećoj mjeri se odnose na obveza povrata vlastitih sredstava proračunskih korisnika koji iste trebaju uplatiti u nadležni proračun. (Dom za stare i nemoćne), a koja su  na dan 31.12. dospjela. Manji dio dospjelih obveza odnosi se na obveze prema dobavljačima za isporučenu robu i usluge prema županiji.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Stanje nedospjelih obveza na kraju izvještajnog razdoblja (šifre V010 + ND23 + ND24 + 'ND dio 25,26' + ND27)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V009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5.907.353,93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Ukupno-2- Stanje nedospjelih obveza na dan 31.12. odnosi se na obveze za plaće za 12/2025, naknade za zaposlene i ostale obveze za materijalne rashode, obveze za nefinancijsku imovinu te obveza za nedospjelu glavnicu kreditne obveze , te na obveze proračuna za naplaćena sredstva proračunskih korisnika. Ukupno stanje nedospjelih obveza  iznosi 5.907.353,93 eura.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36.</w:t>
      </w:r>
    </w:p>
    <w:p>
      <w:pPr>
        <w:jc w:val="both"/>
        <w:pStyle w:val="Normal"/>
        <w:spacing w:line="240" w:lineRule="auto"/>
      </w:pPr>
      <w:r>
        <w:rPr>
          <w:b/>
          <w:sz w:val="24"/>
          <w:rFonts w:ascii="Times New Roman" w:hAnsi="Times New Roman"/>
        </w:rPr>
        <w:t xml:space="preserve">EU izvještaj</w:t>
      </w:r>
    </w:p>
    <w:p>
      <w:r>
        <w:t xml:space="preserve">Brodsko posavska županija u izvještajnom razdoblju imala  je  evidentirane prihode i rashode, potraživanja za kapitalne pomoći te izvanbilančne stavke za evidentirane ugovore o dodjelama bespovratnih sredstava za projekte koji se financiraju iz mehanizma za oporavka i otpornost za dodatna ulaganja na građevinskim objektima, školskim građevinama i zdravstvenim ustanovama.</w:t>
      </w:r>
    </w:p>
    <w:p/>
  </w:body>
</w:document>
</file>

<file path=word/numbering.xml><?xml version="1.0" encoding="utf-8"?>
<w:numbering xmlns:w="http://schemas.openxmlformats.org/wordprocessingml/2006/main">
  <w:abstractNum w:abstractNumId="1">
    <w:multiLevelType w:val="hybridMultilevel"/>
    <w:name w:val="disc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•"/>
      <w:lvlJc w:val="left"/>
      <w:pPr>
        <w:ind w:left="1440" w:hanging="360"/>
      </w:pPr>
    </w:lvl>
    <w:lvl w:ilvl="2">
      <w:start w:val="1"/>
      <w:numFmt w:val="bullet"/>
      <w:lvlText w:val="•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•"/>
      <w:lvlJc w:val="left"/>
      <w:pPr>
        <w:ind w:left="3600" w:hanging="360"/>
      </w:pPr>
    </w:lvl>
    <w:lvl w:ilvl="5">
      <w:start w:val="1"/>
      <w:numFmt w:val="bullet"/>
      <w:lvlText w:val="•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•"/>
      <w:lvlJc w:val="left"/>
      <w:pPr>
        <w:ind w:left="5760" w:hanging="360"/>
      </w:pPr>
    </w:lvl>
    <w:lvl w:ilvl="8">
      <w:start w:val="1"/>
      <w:numFmt w:val="bullet"/>
      <w:lvlText w:val="•"/>
      <w:lvlJc w:val="left"/>
      <w:pPr>
        <w:ind w:left="6480" w:hanging="360"/>
      </w:pPr>
    </w:lvl>
  </w:abstractNum>
  <w:num w:numId="2">
    <w:abstractNumId w:val="1"/>
    <w:lvlOverride w:ilvl="0">
      <w:startOverride w:val="1"/>
    </w:lvlOverride>
  </w:num>
</w:numbering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</w:docDefaults>
  <w:style w:type="paragraph" w:styleId="Normal" w:default="true">
    <w:name w:val="Normal"/>
    <w:rPr>
      <w:rFonts w:ascii="Times New Roman" w:hAnsi="Times New Roman"/>
      <w:sz w:val="24"/>
    </w:rPr>
  </w:style>
  <w:style xmlns:w="http://schemas.openxmlformats.org/wordprocessingml/2006/main" w:type="paragraph" w:styleId="ListParagraph">
    <w:name w:val="List Paragraph"/>
    <w:next w:val="List Paragraph"/>
    <w:pPr>
      <w:keepNext w:val="0"/>
      <w:keepLines w:val="0"/>
      <w:spacing w:before="0" w:after="0" w:line="240" w:lineRule="auto"/>
      <w:ind w:start="720" w:end="0" w:firstLine="0"/>
      <w:contextualSpacing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81d4f1d28942b6" /><Relationship Type="http://schemas.openxmlformats.org/officeDocument/2006/relationships/numbering" Target="/word/numbering.xml" Id="Re064a1c71a4b4a9f" /></Relationships>
</file>