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025C5" w14:textId="77777777" w:rsidR="00084984" w:rsidRDefault="00084984">
      <w:pPr>
        <w:pStyle w:val="Standard"/>
        <w:ind w:left="993"/>
        <w:jc w:val="both"/>
      </w:pPr>
    </w:p>
    <w:p w14:paraId="1EC5FE90" w14:textId="77777777" w:rsidR="00084984" w:rsidRDefault="00000000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791F159C" wp14:editId="388CE926">
            <wp:extent cx="582116" cy="764639"/>
            <wp:effectExtent l="0" t="0" r="8434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CC3A7DD" w14:textId="77777777" w:rsidR="00084984" w:rsidRDefault="00084984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690BA30C" w14:textId="77777777" w:rsidR="0008498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REPUBLIKA HRVATSKA   </w:t>
      </w:r>
    </w:p>
    <w:p w14:paraId="7E7AF46C" w14:textId="77777777" w:rsidR="0008498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BRODSKO-POSAVSKA ŽUPANIJA</w:t>
      </w:r>
    </w:p>
    <w:p w14:paraId="4DFFD71C" w14:textId="77777777" w:rsidR="0008498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ŽUPAN</w:t>
      </w:r>
    </w:p>
    <w:p w14:paraId="6AEC1B05" w14:textId="77777777" w:rsidR="00084984" w:rsidRDefault="00084984">
      <w:pPr>
        <w:pStyle w:val="Standard"/>
        <w:ind w:left="15"/>
        <w:rPr>
          <w:rFonts w:ascii="Calibri" w:hAnsi="Calibri" w:cs="Calibri"/>
          <w:b/>
        </w:rPr>
      </w:pPr>
    </w:p>
    <w:p w14:paraId="7ED58473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:402-10/23-01/20</w:t>
      </w:r>
    </w:p>
    <w:p w14:paraId="604736DF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URBR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OJ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: 2178-04-01/04-23-01</w:t>
      </w:r>
    </w:p>
    <w:p w14:paraId="2710F609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Slavonski Brod, 01. ožujka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 xml:space="preserve"> 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2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023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. </w:t>
      </w:r>
    </w:p>
    <w:p w14:paraId="50BB75C2" w14:textId="77777777" w:rsidR="00084984" w:rsidRDefault="00084984">
      <w:pPr>
        <w:pStyle w:val="Standard"/>
        <w:ind w:left="15"/>
        <w:jc w:val="both"/>
        <w:rPr>
          <w:rFonts w:ascii="Calibri" w:hAnsi="Calibri" w:cs="Calibri"/>
          <w:b/>
        </w:rPr>
      </w:pPr>
    </w:p>
    <w:p w14:paraId="42A1800C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/>
          <w:kern w:val="0"/>
          <w:sz w:val="22"/>
          <w:szCs w:val="22"/>
          <w:lang w:eastAsia="hr-HR" w:bidi="ar-SA"/>
        </w:rPr>
        <w:t>Na temelju članka 48. Zakona o lokalnoj i područnoj (regionalnoj) samoupravi („Narodne novine“, broj 33/01, 60/01, 129/05, 109/07, 125/08,  36/09, 150/11, 144/12, 19/13 - pročišćeni tekst, 137/15, 123/17, 98/19, 144/20),</w:t>
      </w:r>
      <w:r>
        <w:rPr>
          <w:rStyle w:val="Zadanifontodlomka"/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č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3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 56. Statuta Brodsko-posavske županije („Službeni vjesnik Brodsko-posavske županije“, broj 10/09, 19/10, 2/13 i 15/13 – pročišćeni tekst, 4/18, 5/20 i 7/21), članka 15. i 18. Pravilnika o financiranju programa i projekata udruga koji su od interesa za Brodsko-posavsku županiju  („Službeni vjesnik Brodsko-posavske županije“, broj 40/22), Zakona o udrugama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 xml:space="preserve">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(„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Naro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ne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e”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, broj 7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4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/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1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4,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 70/17, 98/19 i 151/22) te sukladno odredbama U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 xml:space="preserve">o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kr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ter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m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a,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m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eri</w:t>
      </w:r>
      <w:r>
        <w:rPr>
          <w:rStyle w:val="Zadanifontodlomka"/>
          <w:rFonts w:ascii="Calibri" w:eastAsia="Times New Roman" w:hAnsi="Calibri" w:cs="Times New Roman"/>
          <w:spacing w:val="-2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m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i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tu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c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m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f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c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 xml:space="preserve">i 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g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 progra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m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 i p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ata od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nt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-1"/>
          <w:w w:val="99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w w:val="99"/>
          <w:kern w:val="0"/>
          <w:sz w:val="22"/>
          <w:szCs w:val="22"/>
          <w:lang w:eastAsia="hr-HR" w:bidi="ar-SA"/>
        </w:rPr>
        <w:t>ć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bro 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 pro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de u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g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(„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Naro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ne 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e”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, 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3"/>
          <w:w w:val="99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 xml:space="preserve">oj 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2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6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/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1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5 i 37/21), Župan Brodsko-posavske županije donosi</w:t>
      </w:r>
    </w:p>
    <w:p w14:paraId="48BA2DC4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hr-HR" w:bidi="ar-SA"/>
        </w:rPr>
      </w:pPr>
    </w:p>
    <w:p w14:paraId="297A9724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hr-HR" w:bidi="ar-SA"/>
        </w:rPr>
      </w:pPr>
    </w:p>
    <w:p w14:paraId="5F04F8DF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  <w:t>ODLUKU</w:t>
      </w:r>
    </w:p>
    <w:p w14:paraId="5CCC7713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2B00FB9B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o raspisivanju Javnog natječaja te načinu raspodjele raspoloživih sredstava iz Proračuna Brodsko-posavske županije za 2023. godinu namijenjenih za financiranje jednokratnih aktivnosti udruga koje su od interesa za Brodsko-posavsku županiju iz područja vatrogastva za 2023. godinu</w:t>
      </w:r>
    </w:p>
    <w:p w14:paraId="5FC12BC5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10B902D4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24AE45D3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1.</w:t>
      </w:r>
    </w:p>
    <w:p w14:paraId="4CB97C14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02D9EF99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Ovom Odlukom raspisuje se Javni natječaj i utvrđuje način raspodjele sredstava namijenjenih financiranju jednokratnih aktivnosti udruga koje su od interesa za Brodsko-posavsku županiju iz područja vatrogastva za 2023. godinu iz raspoloživih sredstava Brodsko-posavske županije planiranih u Proračunu Brodsko-posavske županije za 2023. godinu u ukupnom iznosu od 52.700,00 eura kako slijedi:</w:t>
      </w:r>
    </w:p>
    <w:p w14:paraId="7DC97C5F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35B546C5" w14:textId="77777777" w:rsidR="00084984" w:rsidRDefault="00000000">
      <w:pPr>
        <w:widowControl/>
        <w:numPr>
          <w:ilvl w:val="0"/>
          <w:numId w:val="5"/>
        </w:numPr>
        <w:suppressAutoHyphens w:val="0"/>
        <w:spacing w:after="160" w:line="242" w:lineRule="auto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Razdjel 011 - Upravni odjel za gospodarstvo i poljoprivredu, Program 3000 -  Promidžba i razvoj gospodarstva, Aktivnost - A300012 Vatrogasna zajednica županije, Pozicija R0124 - Sredstva za obilježavanje obljetnica DVD-a - 2.700,00 eura;</w:t>
      </w:r>
    </w:p>
    <w:p w14:paraId="0668C086" w14:textId="77777777" w:rsidR="00084984" w:rsidRDefault="00000000">
      <w:pPr>
        <w:widowControl/>
        <w:numPr>
          <w:ilvl w:val="0"/>
          <w:numId w:val="5"/>
        </w:numPr>
        <w:suppressAutoHyphens w:val="0"/>
        <w:spacing w:after="160" w:line="242" w:lineRule="auto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Razdjel 011 - Upravni odjel za gospodarstvo i poljoprivredu, Program 3000 -  Promidžba i razvoj gospodarstva, Aktivnost - A300012 Vatrogasna zajednica županije, Pozicija R0127 - Kapitalne donacije za sufinanciranje kupnje vatrogasne opreme - 50.000,00 eura.</w:t>
      </w:r>
    </w:p>
    <w:p w14:paraId="7BAE76B2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6F0C7655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2.</w:t>
      </w:r>
    </w:p>
    <w:p w14:paraId="4C249BD5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337B0515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Donosi se tekst Javnog natječaja za financiranje jednokratnih aktivnosti udruga koji su od interesa za Brodsko-posavsku županiju iz područja vatrogastva za 2023. godinu (u daljnjem tekstu: Javni natječaj) te isti čini sastavni dio ove Odluke.</w:t>
      </w:r>
    </w:p>
    <w:p w14:paraId="117ED425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499D36EE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2F5117BD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3.</w:t>
      </w:r>
    </w:p>
    <w:p w14:paraId="550867E1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3E8601BF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35FDE284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67E7AB88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4.</w:t>
      </w:r>
    </w:p>
    <w:p w14:paraId="3DAC687B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1A311BFD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Dokumentacija za provedbu natječaja iz članka 3. ove Odluke obuhvaća:</w:t>
      </w:r>
    </w:p>
    <w:p w14:paraId="690B8290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1. 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k;</w:t>
      </w:r>
    </w:p>
    <w:p w14:paraId="799CBD5A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2. Te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t javnog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at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č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a;</w:t>
      </w:r>
    </w:p>
    <w:p w14:paraId="0D192D3E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3. U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t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e;</w:t>
      </w:r>
    </w:p>
    <w:p w14:paraId="19E96DA1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4.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asce za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vu jednokratne aktivnosti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 ;</w:t>
      </w:r>
    </w:p>
    <w:p w14:paraId="2B1F859E" w14:textId="77777777" w:rsidR="0008498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4.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1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ac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 jednokratne aktivnosti</w:t>
      </w:r>
      <w:r>
        <w:rPr>
          <w:rStyle w:val="Zadanifontodlomka"/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  <w:t>;</w:t>
      </w:r>
    </w:p>
    <w:p w14:paraId="7355C6DA" w14:textId="77777777" w:rsidR="0008498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4.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2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ac pro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č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u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na jednokratne aktivnosti;</w:t>
      </w:r>
    </w:p>
    <w:p w14:paraId="3CBA8BD6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5. P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s pr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g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i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l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ž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 pr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i;</w:t>
      </w:r>
    </w:p>
    <w:p w14:paraId="5B936748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6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c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ocjenu 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vali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t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/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ti jednokratne aktivnosti;</w:t>
      </w:r>
    </w:p>
    <w:p w14:paraId="40EE2D7E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7.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ac 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-4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 o 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u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tru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og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f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c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a;</w:t>
      </w:r>
    </w:p>
    <w:p w14:paraId="0C5409AD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8.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ac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u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g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ora o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f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c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u jednokratne aktivnosti;</w:t>
      </w:r>
    </w:p>
    <w:p w14:paraId="0F03EF98" w14:textId="77777777" w:rsidR="00084984" w:rsidRDefault="00000000">
      <w:pPr>
        <w:widowControl/>
        <w:suppressAutoHyphens w:val="0"/>
        <w:ind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9.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sc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e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zv</w:t>
      </w:r>
      <w:r>
        <w:rPr>
          <w:rStyle w:val="Zadanifontodlomka"/>
          <w:rFonts w:ascii="Calibri" w:eastAsia="Times New Roman" w:hAnsi="Calibri" w:cs="Times New Roman"/>
          <w:spacing w:val="4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š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tava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e:</w:t>
      </w:r>
    </w:p>
    <w:p w14:paraId="250B411C" w14:textId="77777777" w:rsidR="0008498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9.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1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. 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ac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s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og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zv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š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 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p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r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 jednokratne aktivnosti;</w:t>
      </w:r>
    </w:p>
    <w:p w14:paraId="3BCD8D10" w14:textId="77777777" w:rsidR="0008498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9.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2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. Obr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ac 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f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a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n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c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js</w:t>
      </w:r>
      <w:r>
        <w:rPr>
          <w:rStyle w:val="Zadanifontodlomka"/>
          <w:rFonts w:ascii="Calibri" w:eastAsia="Times New Roman" w:hAnsi="Calibri" w:cs="Times New Roman"/>
          <w:spacing w:val="3"/>
          <w:kern w:val="0"/>
          <w:sz w:val="22"/>
          <w:szCs w:val="22"/>
          <w:lang w:eastAsia="hr-HR" w:bidi="ar-SA"/>
        </w:rPr>
        <w:t>k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og 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i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zv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š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ta</w:t>
      </w:r>
      <w:r>
        <w:rPr>
          <w:rStyle w:val="Zadanifontodlomka"/>
          <w:rFonts w:ascii="Calibri" w:eastAsia="Times New Roman" w:hAnsi="Calibri" w:cs="Times New Roman"/>
          <w:spacing w:val="1"/>
          <w:kern w:val="0"/>
          <w:sz w:val="22"/>
          <w:szCs w:val="22"/>
          <w:lang w:eastAsia="hr-HR" w:bidi="ar-SA"/>
        </w:rPr>
        <w:t>j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a pr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o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v</w:t>
      </w:r>
      <w:r>
        <w:rPr>
          <w:rStyle w:val="Zadanifontodlomka"/>
          <w:rFonts w:ascii="Calibri" w:eastAsia="Times New Roman" w:hAnsi="Calibri" w:cs="Times New Roman"/>
          <w:spacing w:val="2"/>
          <w:kern w:val="0"/>
          <w:sz w:val="22"/>
          <w:szCs w:val="22"/>
          <w:lang w:eastAsia="hr-HR" w:bidi="ar-SA"/>
        </w:rPr>
        <w:t>e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d</w:t>
      </w:r>
      <w:r>
        <w:rPr>
          <w:rStyle w:val="Zadanifontodlomka"/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  <w:t>b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e jednokratne aktivnosti;</w:t>
      </w:r>
    </w:p>
    <w:p w14:paraId="57A97A00" w14:textId="77777777" w:rsidR="00084984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>9.3. Obrazac financijskog izvješća PROR – POT.</w:t>
      </w:r>
    </w:p>
    <w:p w14:paraId="1BBA2E04" w14:textId="77777777" w:rsidR="00084984" w:rsidRDefault="00084984">
      <w:pPr>
        <w:widowControl/>
        <w:suppressAutoHyphens w:val="0"/>
        <w:ind w:left="708" w:firstLine="708"/>
        <w:jc w:val="both"/>
        <w:textAlignment w:val="auto"/>
        <w:rPr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</w:pPr>
    </w:p>
    <w:p w14:paraId="50840507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5.</w:t>
      </w:r>
    </w:p>
    <w:p w14:paraId="73C1B282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68EA24AD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 xml:space="preserve">Javni natječaj s natječajnom dokumentacijom iz članka 4. ove Odluke objavit će 1. ožujka 2023. godine  na službenim mrežnim stranicama Brodsko-posavske županije </w:t>
      </w:r>
      <w:hyperlink r:id="rId8" w:history="1">
        <w:r>
          <w:rPr>
            <w:rStyle w:val="Zadanifontodlomka"/>
            <w:rFonts w:ascii="Calibri" w:eastAsia="Times New Roman" w:hAnsi="Calibri"/>
            <w:color w:val="034990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>
        <w:rPr>
          <w:rStyle w:val="Zadanifontodlomka"/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 xml:space="preserve">i službenim mrežnim stranicama Ureda za udruge Vlade Republike Hrvatske </w:t>
      </w:r>
      <w:r>
        <w:rPr>
          <w:rStyle w:val="Zadanifontodlomka"/>
          <w:rFonts w:ascii="Arial" w:eastAsia="Times New Roman" w:hAnsi="Arial"/>
          <w:color w:val="595959"/>
          <w:kern w:val="0"/>
          <w:sz w:val="20"/>
          <w:szCs w:val="20"/>
          <w:lang w:eastAsia="hr-HR" w:bidi="ar-SA"/>
        </w:rPr>
        <w:t xml:space="preserve"> </w:t>
      </w:r>
      <w:hyperlink r:id="rId9" w:history="1">
        <w:r>
          <w:rPr>
            <w:rStyle w:val="Zadanifontodlomka"/>
            <w:rFonts w:ascii="Arial" w:eastAsia="Times New Roman" w:hAnsi="Arial"/>
            <w:color w:val="0563C1"/>
            <w:kern w:val="0"/>
            <w:sz w:val="20"/>
            <w:szCs w:val="20"/>
            <w:u w:val="single"/>
            <w:lang w:eastAsia="hr-HR" w:bidi="ar-SA"/>
          </w:rPr>
          <w:t>www.udruge.vlada.hr</w:t>
        </w:r>
      </w:hyperlink>
      <w:r>
        <w:rPr>
          <w:rStyle w:val="Zadanifontodlomka"/>
          <w:rFonts w:ascii="Arial" w:eastAsia="Times New Roman" w:hAnsi="Arial"/>
          <w:color w:val="595959"/>
          <w:kern w:val="0"/>
          <w:sz w:val="20"/>
          <w:szCs w:val="20"/>
          <w:lang w:eastAsia="hr-HR" w:bidi="ar-SA"/>
        </w:rPr>
        <w:t xml:space="preserve"> . </w:t>
      </w:r>
    </w:p>
    <w:p w14:paraId="798DFFFF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57A2E334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 xml:space="preserve">Članak 6. </w:t>
      </w:r>
    </w:p>
    <w:p w14:paraId="1EF32E9D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72500603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Zadužuje se Upravni odjel za gospodarstvo i poljoprivredu Brodsko-posavske županije za provedbu Javnog natječaja iz članka 2.  ove Odluke i za praćenje namjenskog utroška sredstava.</w:t>
      </w:r>
    </w:p>
    <w:p w14:paraId="03039E26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3CD6D16D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Za provođenje postupka Javnog natječaja Župan, osniva i imenuje članove:</w:t>
      </w:r>
    </w:p>
    <w:p w14:paraId="182D103A" w14:textId="77777777" w:rsidR="00084984" w:rsidRDefault="00000000">
      <w:pPr>
        <w:widowControl/>
        <w:numPr>
          <w:ilvl w:val="0"/>
          <w:numId w:val="6"/>
        </w:numPr>
        <w:suppressAutoHyphens w:val="0"/>
        <w:spacing w:line="242" w:lineRule="auto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 xml:space="preserve">Povjerenstva za provjeru propisanih uvjeta prijava na Javni natječaj i </w:t>
      </w:r>
    </w:p>
    <w:p w14:paraId="13D45272" w14:textId="77777777" w:rsidR="00084984" w:rsidRDefault="00000000">
      <w:pPr>
        <w:widowControl/>
        <w:numPr>
          <w:ilvl w:val="0"/>
          <w:numId w:val="6"/>
        </w:numPr>
        <w:suppressAutoHyphens w:val="0"/>
        <w:spacing w:line="242" w:lineRule="auto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Povjerenstva za ocjenjivanje jednokratnih aktivnosti udruga.</w:t>
      </w:r>
    </w:p>
    <w:p w14:paraId="536B9CEE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6270352B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 xml:space="preserve">Članovi Povjerenstva za provjeru propisanih uvjeta prijava na Javni natječaj i Povjerenstva za ocjenjivanje jednokratnih aktivnosti udruga radit će sukladno proceduri navedenoj u Uputama za prijavitelje te sukladno Pravilniku o financiranju programa i projekata udruga koji su od interesa za Brodsko-posavsku županiju </w:t>
      </w:r>
      <w:r>
        <w:rPr>
          <w:rStyle w:val="Zadanifontodlomka"/>
          <w:rFonts w:ascii="Calibri" w:eastAsia="Times New Roman" w:hAnsi="Calibri" w:cs="Times New Roman"/>
          <w:kern w:val="0"/>
          <w:sz w:val="22"/>
          <w:szCs w:val="22"/>
          <w:lang w:eastAsia="hr-HR" w:bidi="ar-SA"/>
        </w:rPr>
        <w:t xml:space="preserve">(„Službeni vjesnik Brodsko-posavske županije“, broj 40/22). </w:t>
      </w:r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 xml:space="preserve"> </w:t>
      </w:r>
    </w:p>
    <w:p w14:paraId="05B4A33E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7DE73538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 xml:space="preserve">Članak 7. </w:t>
      </w:r>
    </w:p>
    <w:p w14:paraId="29F1B249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3851679F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Na temelju provedenog postupka ocjenjivanja prijavljenih jednokratnih aktivnosti udruga, Župan donosi Odluku o odobravanju/neodobravanju financijskih sredstava za jednokratne aktivnosti udruga.</w:t>
      </w:r>
    </w:p>
    <w:p w14:paraId="26011515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129283B3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Na temelju Odluke iz stavka 1. ovog članka Brodsko-posavska županija će potpisati ugovor o financiranju jednokratnih aktivnosti udruge.</w:t>
      </w:r>
    </w:p>
    <w:p w14:paraId="19D31EEE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53564D14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30D7D015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62568AF8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2D1E4807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8.</w:t>
      </w:r>
    </w:p>
    <w:p w14:paraId="7DBDF8A6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7BF8FCC6" w14:textId="77777777" w:rsidR="00084984" w:rsidRDefault="00000000">
      <w:pPr>
        <w:widowControl/>
        <w:suppressAutoHyphens w:val="0"/>
        <w:jc w:val="both"/>
        <w:textAlignment w:val="auto"/>
      </w:pPr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Odluka iz članka 7. stavak 1. ove Odluke bit će objavljena na službenim mrežnim stranicama Brodsko-posavske županije (</w:t>
      </w:r>
      <w:hyperlink r:id="rId10" w:history="1">
        <w:r>
          <w:rPr>
            <w:rStyle w:val="Hiperveza"/>
            <w:rFonts w:ascii="Calibri" w:eastAsia="Times New Roman" w:hAnsi="Calibri" w:cs="Times New Roman"/>
            <w:bCs/>
            <w:kern w:val="0"/>
            <w:sz w:val="22"/>
            <w:szCs w:val="22"/>
            <w:lang w:eastAsia="hr-HR" w:bidi="ar-SA"/>
          </w:rPr>
          <w:t>www.bpz.hr</w:t>
        </w:r>
      </w:hyperlink>
      <w:r>
        <w:rPr>
          <w:rStyle w:val="Zadanifontodlomka"/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).</w:t>
      </w:r>
    </w:p>
    <w:p w14:paraId="1A063D88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7C7338C9" w14:textId="77777777" w:rsidR="00084984" w:rsidRDefault="00000000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  <w:t>Članak 9.</w:t>
      </w:r>
    </w:p>
    <w:p w14:paraId="6B566191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6BE9DCE7" w14:textId="77777777" w:rsidR="00084984" w:rsidRDefault="00000000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  <w:t>Ova Odluka stupa na snagu danom donošenja, a objavit će se na službenim mrežnim stranicama Brodsko-posavske županije.</w:t>
      </w:r>
    </w:p>
    <w:p w14:paraId="05CC730C" w14:textId="77777777" w:rsidR="00084984" w:rsidRDefault="00084984">
      <w:pPr>
        <w:widowControl/>
        <w:suppressAutoHyphens w:val="0"/>
        <w:ind w:left="708" w:firstLine="708"/>
        <w:jc w:val="both"/>
        <w:textAlignment w:val="auto"/>
        <w:rPr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</w:pPr>
    </w:p>
    <w:p w14:paraId="0F6640D8" w14:textId="77777777" w:rsidR="00084984" w:rsidRDefault="00084984">
      <w:pPr>
        <w:widowControl/>
        <w:suppressAutoHyphens w:val="0"/>
        <w:ind w:left="4956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60D25BC2" w14:textId="77777777" w:rsidR="00084984" w:rsidRDefault="00084984">
      <w:pPr>
        <w:widowControl/>
        <w:suppressAutoHyphens w:val="0"/>
        <w:ind w:left="4956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011711A6" w14:textId="77777777" w:rsidR="00084984" w:rsidRDefault="00000000">
      <w:pPr>
        <w:widowControl/>
        <w:suppressAutoHyphens w:val="0"/>
        <w:ind w:left="4956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  <w:t xml:space="preserve">ŽUPAN </w:t>
      </w:r>
    </w:p>
    <w:p w14:paraId="6D0CBD8E" w14:textId="77777777" w:rsidR="00084984" w:rsidRDefault="00084984">
      <w:pPr>
        <w:widowControl/>
        <w:suppressAutoHyphens w:val="0"/>
        <w:ind w:left="4956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1CD0EFE5" w14:textId="77777777" w:rsidR="00084984" w:rsidRDefault="00000000">
      <w:pPr>
        <w:widowControl/>
        <w:suppressAutoHyphens w:val="0"/>
        <w:ind w:left="4956"/>
        <w:jc w:val="center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  <w:r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  <w:t>dr.sc. Danijel Marušić, dr. med. vet.</w:t>
      </w:r>
    </w:p>
    <w:p w14:paraId="168FD439" w14:textId="77777777" w:rsidR="00084984" w:rsidRDefault="00084984">
      <w:pPr>
        <w:widowControl/>
        <w:suppressAutoHyphens w:val="0"/>
        <w:ind w:left="4956"/>
        <w:jc w:val="both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26CD52BE" w14:textId="77777777" w:rsidR="00084984" w:rsidRDefault="00084984">
      <w:pPr>
        <w:widowControl/>
        <w:suppressAutoHyphens w:val="0"/>
        <w:ind w:left="4956"/>
        <w:jc w:val="both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2DEC1A2B" w14:textId="77777777" w:rsidR="00084984" w:rsidRDefault="00084984">
      <w:pPr>
        <w:widowControl/>
        <w:suppressAutoHyphens w:val="0"/>
        <w:ind w:left="4956"/>
        <w:jc w:val="both"/>
        <w:textAlignment w:val="auto"/>
        <w:rPr>
          <w:rFonts w:ascii="Calibri" w:eastAsia="Times New Roman" w:hAnsi="Calibri" w:cs="Times New Roman"/>
          <w:b/>
          <w:kern w:val="0"/>
          <w:sz w:val="22"/>
          <w:szCs w:val="22"/>
          <w:lang w:eastAsia="hr-HR" w:bidi="ar-SA"/>
        </w:rPr>
      </w:pPr>
    </w:p>
    <w:p w14:paraId="55B4A09D" w14:textId="77777777" w:rsidR="00084984" w:rsidRDefault="00084984">
      <w:pPr>
        <w:widowControl/>
        <w:suppressAutoHyphens w:val="0"/>
        <w:ind w:firstLine="708"/>
        <w:textAlignment w:val="auto"/>
        <w:rPr>
          <w:rFonts w:ascii="Calibri" w:eastAsia="Times New Roman" w:hAnsi="Calibri" w:cs="Times New Roman"/>
          <w:w w:val="99"/>
          <w:kern w:val="0"/>
          <w:sz w:val="22"/>
          <w:szCs w:val="22"/>
          <w:lang w:eastAsia="hr-HR" w:bidi="ar-SA"/>
        </w:rPr>
      </w:pPr>
    </w:p>
    <w:p w14:paraId="0D827B55" w14:textId="77777777" w:rsidR="00084984" w:rsidRDefault="00084984">
      <w:pPr>
        <w:widowControl/>
        <w:suppressAutoHyphens w:val="0"/>
        <w:ind w:left="708" w:firstLine="708"/>
        <w:jc w:val="center"/>
        <w:textAlignment w:val="auto"/>
        <w:rPr>
          <w:rFonts w:ascii="Calibri" w:eastAsia="Times New Roman" w:hAnsi="Calibri" w:cs="Times New Roman"/>
          <w:b/>
          <w:w w:val="99"/>
          <w:kern w:val="0"/>
          <w:sz w:val="22"/>
          <w:szCs w:val="22"/>
          <w:lang w:eastAsia="hr-HR" w:bidi="ar-SA"/>
        </w:rPr>
      </w:pPr>
    </w:p>
    <w:p w14:paraId="61C22C9D" w14:textId="77777777" w:rsidR="00084984" w:rsidRDefault="00084984">
      <w:pPr>
        <w:widowControl/>
        <w:suppressAutoHyphens w:val="0"/>
        <w:spacing w:line="276" w:lineRule="auto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</w:p>
    <w:p w14:paraId="713680D6" w14:textId="77777777" w:rsidR="00084984" w:rsidRDefault="00084984">
      <w:pPr>
        <w:widowControl/>
        <w:suppressAutoHyphens w:val="0"/>
        <w:spacing w:line="276" w:lineRule="auto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</w:p>
    <w:p w14:paraId="52F990F8" w14:textId="77777777" w:rsidR="00084984" w:rsidRDefault="00000000">
      <w:pPr>
        <w:widowControl/>
        <w:suppressAutoHyphens w:val="0"/>
        <w:spacing w:line="276" w:lineRule="auto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Dostaviti:</w:t>
      </w:r>
    </w:p>
    <w:p w14:paraId="4B3B646B" w14:textId="77777777" w:rsidR="00084984" w:rsidRDefault="00000000">
      <w:pPr>
        <w:widowControl/>
        <w:numPr>
          <w:ilvl w:val="0"/>
          <w:numId w:val="7"/>
        </w:numPr>
        <w:suppressAutoHyphens w:val="0"/>
        <w:spacing w:line="276" w:lineRule="auto"/>
        <w:ind w:firstLine="708"/>
        <w:contextualSpacing/>
        <w:jc w:val="both"/>
        <w:textAlignment w:val="auto"/>
      </w:pPr>
      <w:r>
        <w:rPr>
          <w:rStyle w:val="Zadanifontodlomka"/>
          <w:rFonts w:ascii="Calibri" w:eastAsia="Calibri" w:hAnsi="Calibri" w:cs="Calibri"/>
          <w:kern w:val="0"/>
          <w:sz w:val="22"/>
          <w:szCs w:val="22"/>
          <w:lang w:eastAsia="en-US" w:bidi="ar-SA"/>
        </w:rPr>
        <w:t xml:space="preserve">Upravni odjel za gospodarstvo i poljoprivredu Brodsko-posavske </w:t>
      </w:r>
      <w:r>
        <w:rPr>
          <w:rStyle w:val="Zadanifontodlomka"/>
          <w:rFonts w:ascii="Calibri" w:eastAsia="Calibri" w:hAnsi="Calibri" w:cs="Calibri"/>
          <w:kern w:val="0"/>
          <w:sz w:val="22"/>
          <w:szCs w:val="22"/>
          <w:lang w:val="en-US" w:eastAsia="en-US" w:bidi="ar-SA"/>
        </w:rPr>
        <w:t>županije</w:t>
      </w:r>
    </w:p>
    <w:p w14:paraId="40882D0B" w14:textId="77777777" w:rsidR="00084984" w:rsidRDefault="00000000">
      <w:pPr>
        <w:pStyle w:val="Odlomakpopisa"/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Dosje</w:t>
      </w:r>
    </w:p>
    <w:p w14:paraId="4334E679" w14:textId="77777777" w:rsidR="00084984" w:rsidRDefault="00000000">
      <w:pPr>
        <w:pStyle w:val="Odlomakpopisa"/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  <w:rPr>
          <w:rFonts w:ascii="Calibri" w:eastAsia="Calibri" w:hAnsi="Calibri" w:cs="Calibri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kern w:val="0"/>
          <w:sz w:val="22"/>
          <w:szCs w:val="22"/>
          <w:lang w:eastAsia="en-US" w:bidi="ar-SA"/>
        </w:rPr>
        <w:t>Pismohrana</w:t>
      </w:r>
    </w:p>
    <w:p w14:paraId="5F7A83E0" w14:textId="77777777" w:rsidR="00084984" w:rsidRDefault="00084984">
      <w:pPr>
        <w:widowControl/>
        <w:suppressAutoHyphens w:val="0"/>
        <w:spacing w:line="276" w:lineRule="auto"/>
        <w:ind w:left="720"/>
        <w:jc w:val="both"/>
        <w:textAlignment w:val="auto"/>
        <w:rPr>
          <w:rFonts w:ascii="Verdana" w:eastAsia="Calibri" w:hAnsi="Verdana" w:cs="Times New Roman"/>
          <w:kern w:val="0"/>
          <w:sz w:val="22"/>
          <w:szCs w:val="22"/>
          <w:lang w:val="en-US" w:eastAsia="en-US" w:bidi="ar-SA"/>
        </w:rPr>
      </w:pPr>
    </w:p>
    <w:p w14:paraId="7A2212FF" w14:textId="77777777" w:rsidR="00084984" w:rsidRDefault="00084984">
      <w:pPr>
        <w:widowControl/>
        <w:suppressAutoHyphens w:val="0"/>
        <w:ind w:firstLine="708"/>
        <w:jc w:val="both"/>
        <w:textAlignment w:val="auto"/>
        <w:rPr>
          <w:rFonts w:ascii="Calibri" w:eastAsia="Times New Roman" w:hAnsi="Calibri" w:cs="Times New Roman"/>
          <w:kern w:val="0"/>
          <w:sz w:val="22"/>
          <w:szCs w:val="22"/>
          <w:lang w:eastAsia="hr-HR" w:bidi="ar-SA"/>
        </w:rPr>
      </w:pPr>
    </w:p>
    <w:p w14:paraId="083FACB0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spacing w:val="-1"/>
          <w:kern w:val="0"/>
          <w:sz w:val="22"/>
          <w:szCs w:val="22"/>
          <w:lang w:eastAsia="hr-HR" w:bidi="ar-SA"/>
        </w:rPr>
      </w:pPr>
    </w:p>
    <w:p w14:paraId="0DD08CB8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14B32BD7" w14:textId="77777777" w:rsidR="00084984" w:rsidRDefault="00084984">
      <w:pPr>
        <w:widowControl/>
        <w:suppressAutoHyphens w:val="0"/>
        <w:jc w:val="both"/>
        <w:textAlignment w:val="auto"/>
        <w:rPr>
          <w:rFonts w:ascii="Calibri" w:eastAsia="Times New Roman" w:hAnsi="Calibri" w:cs="Times New Roman"/>
          <w:bCs/>
          <w:kern w:val="0"/>
          <w:sz w:val="22"/>
          <w:szCs w:val="22"/>
          <w:lang w:eastAsia="hr-HR" w:bidi="ar-SA"/>
        </w:rPr>
      </w:pPr>
    </w:p>
    <w:p w14:paraId="38A5850A" w14:textId="77777777" w:rsidR="00084984" w:rsidRDefault="00084984">
      <w:pPr>
        <w:widowControl/>
        <w:suppressAutoHyphens w:val="0"/>
        <w:jc w:val="center"/>
        <w:textAlignment w:val="auto"/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hr-HR" w:bidi="ar-SA"/>
        </w:rPr>
      </w:pPr>
    </w:p>
    <w:p w14:paraId="40ED915F" w14:textId="77777777" w:rsidR="00084984" w:rsidRDefault="00084984">
      <w:pPr>
        <w:widowControl/>
        <w:suppressAutoHyphens w:val="0"/>
        <w:spacing w:after="160" w:line="242" w:lineRule="auto"/>
        <w:textAlignment w:val="auto"/>
        <w:rPr>
          <w:rFonts w:ascii="Calibri" w:eastAsia="Calibri" w:hAnsi="Calibri" w:cs="Times New Roman"/>
          <w:kern w:val="0"/>
          <w:sz w:val="22"/>
          <w:szCs w:val="22"/>
          <w:lang w:val="en-US" w:eastAsia="en-US" w:bidi="ar-SA"/>
        </w:rPr>
      </w:pPr>
    </w:p>
    <w:p w14:paraId="74EEC0F3" w14:textId="77777777" w:rsidR="00084984" w:rsidRDefault="00084984">
      <w:pPr>
        <w:widowControl/>
        <w:suppressAutoHyphens w:val="0"/>
        <w:spacing w:after="160" w:line="242" w:lineRule="auto"/>
        <w:textAlignment w:val="auto"/>
        <w:rPr>
          <w:rFonts w:ascii="Calibri" w:eastAsia="Calibri" w:hAnsi="Calibri" w:cs="Times New Roman"/>
          <w:kern w:val="0"/>
          <w:sz w:val="22"/>
          <w:szCs w:val="22"/>
          <w:lang w:val="en-US" w:eastAsia="en-US" w:bidi="ar-SA"/>
        </w:rPr>
      </w:pPr>
    </w:p>
    <w:p w14:paraId="066D2982" w14:textId="77777777" w:rsidR="00084984" w:rsidRDefault="00084984">
      <w:pPr>
        <w:pStyle w:val="Standard"/>
        <w:ind w:left="15"/>
        <w:jc w:val="both"/>
        <w:rPr>
          <w:rFonts w:ascii="Calibri" w:hAnsi="Calibri" w:cs="Calibri"/>
          <w:b/>
        </w:rPr>
      </w:pPr>
    </w:p>
    <w:p w14:paraId="24DE2430" w14:textId="77777777" w:rsidR="00084984" w:rsidRDefault="00084984">
      <w:pPr>
        <w:pStyle w:val="Standard"/>
        <w:ind w:left="15"/>
        <w:jc w:val="both"/>
        <w:rPr>
          <w:rFonts w:ascii="Calibri" w:hAnsi="Calibri" w:cs="Calibri"/>
          <w:b/>
        </w:rPr>
      </w:pPr>
    </w:p>
    <w:sectPr w:rsidR="00084984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70ABE" w14:textId="77777777" w:rsidR="00DB339E" w:rsidRDefault="00DB339E">
      <w:r>
        <w:separator/>
      </w:r>
    </w:p>
  </w:endnote>
  <w:endnote w:type="continuationSeparator" w:id="0">
    <w:p w14:paraId="4FA0B645" w14:textId="77777777" w:rsidR="00DB339E" w:rsidRDefault="00DB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CF16" w14:textId="77777777" w:rsidR="00DB339E" w:rsidRDefault="00DB339E">
      <w:r>
        <w:rPr>
          <w:color w:val="000000"/>
        </w:rPr>
        <w:separator/>
      </w:r>
    </w:p>
  </w:footnote>
  <w:footnote w:type="continuationSeparator" w:id="0">
    <w:p w14:paraId="1B4B76DD" w14:textId="77777777" w:rsidR="00DB339E" w:rsidRDefault="00DB3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D586D"/>
    <w:multiLevelType w:val="multilevel"/>
    <w:tmpl w:val="0C7413A6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1" w15:restartNumberingAfterBreak="0">
    <w:nsid w:val="2A6F1149"/>
    <w:multiLevelType w:val="multilevel"/>
    <w:tmpl w:val="B35C57D0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2" w15:restartNumberingAfterBreak="0">
    <w:nsid w:val="4A364834"/>
    <w:multiLevelType w:val="multilevel"/>
    <w:tmpl w:val="58F8795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A34D5C"/>
    <w:multiLevelType w:val="multilevel"/>
    <w:tmpl w:val="F38E38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504218C"/>
    <w:multiLevelType w:val="multilevel"/>
    <w:tmpl w:val="5C049B08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5" w15:restartNumberingAfterBreak="0">
    <w:nsid w:val="6B973E7C"/>
    <w:multiLevelType w:val="multilevel"/>
    <w:tmpl w:val="A760A706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6" w15:restartNumberingAfterBreak="0">
    <w:nsid w:val="7B3E536C"/>
    <w:multiLevelType w:val="multilevel"/>
    <w:tmpl w:val="388CB76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 w16cid:durableId="2091779241">
    <w:abstractNumId w:val="6"/>
  </w:num>
  <w:num w:numId="2" w16cid:durableId="352073507">
    <w:abstractNumId w:val="4"/>
  </w:num>
  <w:num w:numId="3" w16cid:durableId="470294924">
    <w:abstractNumId w:val="5"/>
  </w:num>
  <w:num w:numId="4" w16cid:durableId="614144674">
    <w:abstractNumId w:val="1"/>
  </w:num>
  <w:num w:numId="5" w16cid:durableId="416100545">
    <w:abstractNumId w:val="3"/>
  </w:num>
  <w:num w:numId="6" w16cid:durableId="570190569">
    <w:abstractNumId w:val="0"/>
  </w:num>
  <w:num w:numId="7" w16cid:durableId="1309434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oNotDisplayPageBoundaries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84984"/>
    <w:rsid w:val="00084984"/>
    <w:rsid w:val="001E74CB"/>
    <w:rsid w:val="00DB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6BF5"/>
  <w15:docId w15:val="{0ED0BBC6-B141-41A2-9E54-892DE007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slov3">
    <w:name w:val="Naslov 3"/>
    <w:basedOn w:val="Standard"/>
    <w:next w:val="Textbody"/>
    <w:pPr>
      <w:spacing w:before="280" w:after="280"/>
      <w:outlineLvl w:val="2"/>
    </w:pPr>
    <w:rPr>
      <w:b/>
      <w:bCs/>
      <w:sz w:val="27"/>
      <w:szCs w:val="27"/>
    </w:rPr>
  </w:style>
  <w:style w:type="character" w:customStyle="1" w:styleId="Zadanifontodlomka">
    <w:name w:val="Zadani font odlomka"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Popis">
    <w:name w:val="Popis"/>
    <w:basedOn w:val="Textbody"/>
    <w:rPr>
      <w:rFonts w:cs="Arial"/>
    </w:rPr>
  </w:style>
  <w:style w:type="paragraph" w:customStyle="1" w:styleId="Opisslike">
    <w:name w:val="Opis slike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balonia">
    <w:name w:val="Tekst balončića"/>
    <w:basedOn w:val="Standard"/>
    <w:rPr>
      <w:rFonts w:ascii="Tahoma" w:hAnsi="Tahoma" w:cs="Tahoma"/>
      <w:sz w:val="16"/>
      <w:szCs w:val="16"/>
    </w:rPr>
  </w:style>
  <w:style w:type="paragraph" w:customStyle="1" w:styleId="StandardWeb">
    <w:name w:val="Standard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customStyle="1" w:styleId="Bezproreda">
    <w:name w:val="Bez proreda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customStyle="1" w:styleId="Hiperveza">
    <w:name w:val="Hiperveza"/>
    <w:basedOn w:val="Zadanifontodlomka"/>
    <w:rPr>
      <w:color w:val="0563C1"/>
      <w:u w:val="single"/>
    </w:rPr>
  </w:style>
  <w:style w:type="character" w:customStyle="1" w:styleId="Nerijeenospominjanje">
    <w:name w:val="Neriješeno spominjanje"/>
    <w:basedOn w:val="Zadanifontodlomka"/>
    <w:rPr>
      <w:color w:val="605E5C"/>
      <w:shd w:val="clear" w:color="auto" w:fill="E1DFDD"/>
    </w:rPr>
  </w:style>
  <w:style w:type="paragraph" w:customStyle="1" w:styleId="Odlomakpopisa">
    <w:name w:val="Odlomak popisa"/>
    <w:basedOn w:val="Normal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NoList"/>
    <w:pPr>
      <w:numPr>
        <w:numId w:val="1"/>
      </w:numPr>
    </w:pPr>
  </w:style>
  <w:style w:type="numbering" w:customStyle="1" w:styleId="WWNum2">
    <w:name w:val="WWNum2"/>
    <w:basedOn w:val="NoList"/>
    <w:pPr>
      <w:numPr>
        <w:numId w:val="2"/>
      </w:numPr>
    </w:pPr>
  </w:style>
  <w:style w:type="numbering" w:customStyle="1" w:styleId="WWNum3">
    <w:name w:val="WWNum3"/>
    <w:basedOn w:val="NoList"/>
    <w:pPr>
      <w:numPr>
        <w:numId w:val="3"/>
      </w:numPr>
    </w:pPr>
  </w:style>
  <w:style w:type="numbering" w:customStyle="1" w:styleId="WWNum4">
    <w:name w:val="WWNum4"/>
    <w:basedOn w:val="NoList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druge.vlada.h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813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Frane Klarin</cp:lastModifiedBy>
  <cp:revision>2</cp:revision>
  <cp:lastPrinted>2023-02-24T11:35:00Z</cp:lastPrinted>
  <dcterms:created xsi:type="dcterms:W3CDTF">2023-03-01T08:53:00Z</dcterms:created>
  <dcterms:modified xsi:type="dcterms:W3CDTF">2023-03-01T08:53:00Z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