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C86" w:rsidRDefault="00F26C86" w:rsidP="00F26C86">
      <w:pPr>
        <w:autoSpaceDE w:val="0"/>
        <w:autoSpaceDN w:val="0"/>
        <w:adjustRightInd w:val="0"/>
        <w:jc w:val="both"/>
        <w:rPr>
          <w:rFonts w:ascii="Arial" w:eastAsia="Arial" w:hAnsi="Arial" w:cs="Arial"/>
          <w:b/>
          <w:bCs/>
          <w:sz w:val="20"/>
          <w:szCs w:val="20"/>
        </w:rPr>
      </w:pPr>
      <w:r>
        <w:rPr>
          <w:rFonts w:ascii="Arial" w:hAnsi="Arial" w:cs="Arial"/>
          <w:bCs/>
          <w:color w:val="000000"/>
          <w:sz w:val="20"/>
          <w:szCs w:val="20"/>
        </w:rPr>
        <w:t xml:space="preserve">Prilog                                       </w:t>
      </w:r>
      <w:r>
        <w:rPr>
          <w:rFonts w:ascii="Arial" w:eastAsia="Arial" w:hAnsi="Arial" w:cs="Arial"/>
          <w:b/>
          <w:bCs/>
          <w:sz w:val="20"/>
          <w:szCs w:val="20"/>
        </w:rPr>
        <w:t>OBRAZAC I. Izjava o nekažnjavanju</w:t>
      </w:r>
    </w:p>
    <w:tbl>
      <w:tblPr>
        <w:tblW w:w="0" w:type="auto"/>
        <w:tblLook w:val="04A0" w:firstRow="1" w:lastRow="0" w:firstColumn="1" w:lastColumn="0" w:noHBand="0" w:noVBand="1"/>
      </w:tblPr>
      <w:tblGrid>
        <w:gridCol w:w="534"/>
        <w:gridCol w:w="2410"/>
        <w:gridCol w:w="1627"/>
        <w:gridCol w:w="474"/>
        <w:gridCol w:w="584"/>
        <w:gridCol w:w="1213"/>
        <w:gridCol w:w="2230"/>
      </w:tblGrid>
      <w:tr w:rsidR="00F26C86" w:rsidTr="00F26C86">
        <w:trPr>
          <w:trHeight w:val="397"/>
        </w:trPr>
        <w:tc>
          <w:tcPr>
            <w:tcW w:w="534" w:type="dxa"/>
            <w:hideMark/>
          </w:tcPr>
          <w:p w:rsidR="00F26C86" w:rsidRDefault="00F26C86">
            <w:pPr>
              <w:rPr>
                <w:rFonts w:ascii="Arial" w:eastAsia="Arial" w:hAnsi="Arial" w:cs="Arial"/>
                <w:sz w:val="20"/>
                <w:szCs w:val="20"/>
              </w:rPr>
            </w:pPr>
            <w:r>
              <w:rPr>
                <w:rFonts w:ascii="Arial" w:eastAsia="Arial" w:hAnsi="Arial" w:cs="Arial"/>
                <w:sz w:val="20"/>
                <w:szCs w:val="20"/>
              </w:rPr>
              <w:t>Ja,</w:t>
            </w:r>
          </w:p>
        </w:tc>
        <w:tc>
          <w:tcPr>
            <w:tcW w:w="4605" w:type="dxa"/>
            <w:gridSpan w:val="2"/>
            <w:tcBorders>
              <w:top w:val="nil"/>
              <w:left w:val="nil"/>
              <w:bottom w:val="single" w:sz="4" w:space="0" w:color="auto"/>
              <w:right w:val="nil"/>
            </w:tcBorders>
          </w:tcPr>
          <w:p w:rsidR="00F26C86" w:rsidRDefault="00F26C86">
            <w:pPr>
              <w:rPr>
                <w:rFonts w:ascii="Arial" w:eastAsia="Arial" w:hAnsi="Arial" w:cs="Arial"/>
                <w:sz w:val="20"/>
                <w:szCs w:val="20"/>
              </w:rPr>
            </w:pPr>
          </w:p>
        </w:tc>
        <w:tc>
          <w:tcPr>
            <w:tcW w:w="498" w:type="dxa"/>
            <w:hideMark/>
          </w:tcPr>
          <w:p w:rsidR="00F26C86" w:rsidRDefault="00F26C86">
            <w:pPr>
              <w:rPr>
                <w:rFonts w:ascii="Arial" w:eastAsia="Arial" w:hAnsi="Arial" w:cs="Arial"/>
                <w:sz w:val="20"/>
                <w:szCs w:val="20"/>
              </w:rPr>
            </w:pPr>
            <w:r>
              <w:rPr>
                <w:rFonts w:ascii="Arial" w:eastAsia="Arial" w:hAnsi="Arial" w:cs="Arial"/>
                <w:sz w:val="20"/>
                <w:szCs w:val="20"/>
              </w:rPr>
              <w:t>iz</w:t>
            </w:r>
          </w:p>
        </w:tc>
        <w:tc>
          <w:tcPr>
            <w:tcW w:w="4642" w:type="dxa"/>
            <w:gridSpan w:val="3"/>
            <w:tcBorders>
              <w:top w:val="nil"/>
              <w:left w:val="nil"/>
              <w:bottom w:val="single" w:sz="4" w:space="0" w:color="auto"/>
              <w:right w:val="nil"/>
            </w:tcBorders>
          </w:tcPr>
          <w:p w:rsidR="00F26C86" w:rsidRDefault="00F26C86">
            <w:pPr>
              <w:rPr>
                <w:rFonts w:ascii="Arial" w:eastAsia="Arial" w:hAnsi="Arial" w:cs="Arial"/>
                <w:sz w:val="20"/>
                <w:szCs w:val="20"/>
              </w:rPr>
            </w:pPr>
          </w:p>
        </w:tc>
      </w:tr>
      <w:tr w:rsidR="00F26C86" w:rsidTr="00F26C86">
        <w:trPr>
          <w:trHeight w:val="397"/>
        </w:trPr>
        <w:tc>
          <w:tcPr>
            <w:tcW w:w="534" w:type="dxa"/>
          </w:tcPr>
          <w:p w:rsidR="00F26C86" w:rsidRDefault="00F26C86">
            <w:pPr>
              <w:rPr>
                <w:rFonts w:ascii="Arial" w:eastAsia="Arial" w:hAnsi="Arial" w:cs="Arial"/>
                <w:sz w:val="20"/>
                <w:szCs w:val="20"/>
              </w:rPr>
            </w:pPr>
          </w:p>
        </w:tc>
        <w:tc>
          <w:tcPr>
            <w:tcW w:w="4605" w:type="dxa"/>
            <w:gridSpan w:val="2"/>
            <w:tcBorders>
              <w:top w:val="single" w:sz="4" w:space="0" w:color="auto"/>
              <w:left w:val="nil"/>
              <w:bottom w:val="nil"/>
              <w:right w:val="nil"/>
            </w:tcBorders>
            <w:hideMark/>
          </w:tcPr>
          <w:p w:rsidR="00F26C86" w:rsidRDefault="00F26C86">
            <w:pPr>
              <w:jc w:val="center"/>
              <w:rPr>
                <w:rFonts w:ascii="Arial" w:eastAsia="Arial" w:hAnsi="Arial" w:cs="Arial"/>
                <w:sz w:val="20"/>
                <w:szCs w:val="20"/>
              </w:rPr>
            </w:pPr>
            <w:r>
              <w:rPr>
                <w:rFonts w:ascii="Arial" w:eastAsia="Arial" w:hAnsi="Arial" w:cs="Arial"/>
                <w:sz w:val="20"/>
                <w:szCs w:val="20"/>
              </w:rPr>
              <w:t>(ime i prezime)</w:t>
            </w:r>
          </w:p>
        </w:tc>
        <w:tc>
          <w:tcPr>
            <w:tcW w:w="498" w:type="dxa"/>
          </w:tcPr>
          <w:p w:rsidR="00F26C86" w:rsidRDefault="00F26C86">
            <w:pPr>
              <w:rPr>
                <w:rFonts w:ascii="Arial" w:eastAsia="Arial" w:hAnsi="Arial" w:cs="Arial"/>
                <w:sz w:val="20"/>
                <w:szCs w:val="20"/>
              </w:rPr>
            </w:pPr>
          </w:p>
        </w:tc>
        <w:tc>
          <w:tcPr>
            <w:tcW w:w="4642" w:type="dxa"/>
            <w:gridSpan w:val="3"/>
            <w:tcBorders>
              <w:top w:val="single" w:sz="4" w:space="0" w:color="auto"/>
              <w:left w:val="nil"/>
              <w:bottom w:val="nil"/>
              <w:right w:val="nil"/>
            </w:tcBorders>
            <w:hideMark/>
          </w:tcPr>
          <w:p w:rsidR="00F26C86" w:rsidRDefault="00F26C86">
            <w:pPr>
              <w:jc w:val="center"/>
              <w:rPr>
                <w:rFonts w:ascii="Arial" w:eastAsia="Arial" w:hAnsi="Arial" w:cs="Arial"/>
                <w:sz w:val="20"/>
                <w:szCs w:val="20"/>
              </w:rPr>
            </w:pPr>
            <w:r>
              <w:rPr>
                <w:rFonts w:ascii="Arial" w:eastAsia="Arial" w:hAnsi="Arial" w:cs="Arial"/>
                <w:sz w:val="20"/>
                <w:szCs w:val="20"/>
              </w:rPr>
              <w:t>(adresa)</w:t>
            </w:r>
          </w:p>
        </w:tc>
      </w:tr>
      <w:tr w:rsidR="00F26C86" w:rsidTr="00F26C86">
        <w:trPr>
          <w:trHeight w:val="397"/>
        </w:trPr>
        <w:tc>
          <w:tcPr>
            <w:tcW w:w="3227" w:type="dxa"/>
            <w:gridSpan w:val="2"/>
            <w:hideMark/>
          </w:tcPr>
          <w:p w:rsidR="00F26C86" w:rsidRDefault="00F26C86">
            <w:pPr>
              <w:rPr>
                <w:rFonts w:ascii="Arial" w:eastAsia="Arial" w:hAnsi="Arial" w:cs="Arial"/>
                <w:sz w:val="20"/>
                <w:szCs w:val="20"/>
              </w:rPr>
            </w:pPr>
            <w:r>
              <w:rPr>
                <w:rFonts w:ascii="Arial" w:eastAsia="Arial" w:hAnsi="Arial" w:cs="Arial"/>
                <w:sz w:val="20"/>
                <w:szCs w:val="20"/>
              </w:rPr>
              <w:t>broj identifikacijskog dokumenta</w:t>
            </w:r>
          </w:p>
        </w:tc>
        <w:tc>
          <w:tcPr>
            <w:tcW w:w="3118" w:type="dxa"/>
            <w:gridSpan w:val="3"/>
            <w:tcBorders>
              <w:top w:val="nil"/>
              <w:left w:val="nil"/>
              <w:bottom w:val="single" w:sz="4" w:space="0" w:color="auto"/>
              <w:right w:val="nil"/>
            </w:tcBorders>
          </w:tcPr>
          <w:p w:rsidR="00F26C86" w:rsidRDefault="00F26C86">
            <w:pPr>
              <w:rPr>
                <w:rFonts w:ascii="Arial" w:eastAsia="Arial" w:hAnsi="Arial" w:cs="Arial"/>
                <w:sz w:val="20"/>
                <w:szCs w:val="20"/>
              </w:rPr>
            </w:pPr>
          </w:p>
        </w:tc>
        <w:tc>
          <w:tcPr>
            <w:tcW w:w="1276" w:type="dxa"/>
            <w:hideMark/>
          </w:tcPr>
          <w:p w:rsidR="00F26C86" w:rsidRDefault="00F26C86">
            <w:pPr>
              <w:rPr>
                <w:rFonts w:ascii="Arial" w:eastAsia="Arial" w:hAnsi="Arial" w:cs="Arial"/>
                <w:sz w:val="20"/>
                <w:szCs w:val="20"/>
              </w:rPr>
            </w:pPr>
            <w:r>
              <w:rPr>
                <w:rFonts w:ascii="Arial" w:eastAsia="Arial" w:hAnsi="Arial" w:cs="Arial"/>
                <w:sz w:val="20"/>
                <w:szCs w:val="20"/>
              </w:rPr>
              <w:t>izdanog od</w:t>
            </w:r>
          </w:p>
        </w:tc>
        <w:tc>
          <w:tcPr>
            <w:tcW w:w="2658" w:type="dxa"/>
            <w:tcBorders>
              <w:top w:val="nil"/>
              <w:left w:val="nil"/>
              <w:bottom w:val="single" w:sz="4" w:space="0" w:color="auto"/>
              <w:right w:val="nil"/>
            </w:tcBorders>
          </w:tcPr>
          <w:p w:rsidR="00F26C86" w:rsidRDefault="00F26C86">
            <w:pPr>
              <w:rPr>
                <w:rFonts w:ascii="Arial" w:eastAsia="Arial" w:hAnsi="Arial" w:cs="Arial"/>
                <w:sz w:val="20"/>
                <w:szCs w:val="20"/>
              </w:rPr>
            </w:pPr>
          </w:p>
        </w:tc>
      </w:tr>
      <w:tr w:rsidR="00F26C86" w:rsidTr="00F26C86">
        <w:trPr>
          <w:trHeight w:val="397"/>
        </w:trPr>
        <w:tc>
          <w:tcPr>
            <w:tcW w:w="10279" w:type="dxa"/>
            <w:gridSpan w:val="7"/>
            <w:hideMark/>
          </w:tcPr>
          <w:p w:rsidR="00F26C86" w:rsidRDefault="00F26C86">
            <w:pPr>
              <w:rPr>
                <w:rFonts w:ascii="Arial" w:eastAsia="Arial" w:hAnsi="Arial" w:cs="Arial"/>
                <w:sz w:val="20"/>
                <w:szCs w:val="20"/>
              </w:rPr>
            </w:pPr>
            <w:r>
              <w:rPr>
                <w:rFonts w:ascii="Arial" w:eastAsia="Arial" w:hAnsi="Arial" w:cs="Arial"/>
                <w:sz w:val="20"/>
                <w:szCs w:val="20"/>
              </w:rPr>
              <w:t>kao ovlaštena osoba po zakonu za zastupanje gospodarskog subjekta</w:t>
            </w:r>
          </w:p>
        </w:tc>
      </w:tr>
      <w:tr w:rsidR="00F26C86" w:rsidTr="00F26C86">
        <w:trPr>
          <w:trHeight w:val="397"/>
        </w:trPr>
        <w:tc>
          <w:tcPr>
            <w:tcW w:w="10279" w:type="dxa"/>
            <w:gridSpan w:val="7"/>
            <w:tcBorders>
              <w:top w:val="nil"/>
              <w:left w:val="nil"/>
              <w:bottom w:val="single" w:sz="4" w:space="0" w:color="auto"/>
              <w:right w:val="nil"/>
            </w:tcBorders>
          </w:tcPr>
          <w:p w:rsidR="00F26C86" w:rsidRDefault="00F26C86">
            <w:pPr>
              <w:rPr>
                <w:rFonts w:ascii="Arial" w:eastAsia="Arial" w:hAnsi="Arial" w:cs="Arial"/>
                <w:sz w:val="20"/>
                <w:szCs w:val="20"/>
              </w:rPr>
            </w:pPr>
          </w:p>
        </w:tc>
      </w:tr>
      <w:tr w:rsidR="00F26C86" w:rsidTr="00F26C86">
        <w:trPr>
          <w:trHeight w:val="397"/>
        </w:trPr>
        <w:tc>
          <w:tcPr>
            <w:tcW w:w="10279" w:type="dxa"/>
            <w:gridSpan w:val="7"/>
            <w:tcBorders>
              <w:top w:val="single" w:sz="4" w:space="0" w:color="auto"/>
              <w:left w:val="nil"/>
              <w:bottom w:val="nil"/>
              <w:right w:val="nil"/>
            </w:tcBorders>
            <w:hideMark/>
          </w:tcPr>
          <w:p w:rsidR="00F26C86" w:rsidRDefault="00F26C86">
            <w:pPr>
              <w:jc w:val="center"/>
              <w:rPr>
                <w:rFonts w:ascii="Arial" w:eastAsia="Arial" w:hAnsi="Arial" w:cs="Arial"/>
                <w:sz w:val="20"/>
                <w:szCs w:val="20"/>
              </w:rPr>
            </w:pPr>
            <w:r>
              <w:rPr>
                <w:rFonts w:ascii="Arial" w:eastAsia="Arial" w:hAnsi="Arial" w:cs="Arial"/>
                <w:sz w:val="20"/>
                <w:szCs w:val="20"/>
              </w:rPr>
              <w:t>(naziv i sjedište gospodarskog subjekta, OIB)</w:t>
            </w:r>
          </w:p>
        </w:tc>
      </w:tr>
    </w:tbl>
    <w:p w:rsidR="00F26C86" w:rsidRDefault="00F26C86" w:rsidP="00F26C86">
      <w:pPr>
        <w:rPr>
          <w:rFonts w:ascii="Arial" w:eastAsia="Arial" w:hAnsi="Arial" w:cs="Arial"/>
          <w:sz w:val="20"/>
          <w:szCs w:val="20"/>
        </w:rPr>
      </w:pPr>
      <w:r>
        <w:rPr>
          <w:rFonts w:ascii="Arial" w:eastAsia="Arial" w:hAnsi="Arial" w:cs="Arial"/>
          <w:sz w:val="20"/>
          <w:szCs w:val="20"/>
        </w:rPr>
        <w:t>pod materijalnom i kaznenom odgovornošću izjavljujem da ja osobno, niti gore navedeni gospodarski subjekt, kao ni osobe koje su članovi upravnog, upravljačkog ili nadzornog tijela ili imaju ovlasti zastupanja, donošenja odluka ili nadzor gospodarskog tijela, nismo pravomoćnom presudom osuđeni za:</w:t>
      </w:r>
    </w:p>
    <w:p w:rsidR="00F26C86" w:rsidRDefault="00F26C86" w:rsidP="00F26C86">
      <w:pPr>
        <w:pStyle w:val="ListParagraph"/>
        <w:numPr>
          <w:ilvl w:val="0"/>
          <w:numId w:val="1"/>
        </w:numPr>
        <w:spacing w:after="0" w:line="240" w:lineRule="auto"/>
        <w:ind w:left="567" w:hanging="283"/>
        <w:jc w:val="both"/>
        <w:rPr>
          <w:rFonts w:ascii="Arial" w:eastAsia="Calibri" w:hAnsi="Arial" w:cs="Arial"/>
          <w:b/>
          <w:bCs/>
          <w:sz w:val="20"/>
          <w:szCs w:val="20"/>
        </w:rPr>
      </w:pPr>
      <w:r>
        <w:rPr>
          <w:rFonts w:ascii="Arial" w:hAnsi="Arial" w:cs="Arial"/>
          <w:b/>
          <w:bCs/>
          <w:sz w:val="20"/>
          <w:szCs w:val="20"/>
        </w:rPr>
        <w:t>sudjelovanje u zločinačkoj organizaciji, na temelju</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328. (zločinačko udruženje) i članka 329. (počinjenje kaznenog djela u sastavu zločinačkog udruženja) Kaznenog zakona</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333. (udruživanje za počinjenje kaznenih djela), iz Kaznenog zakona (»Narodne novine«, br. 110/97., 27/98., 50/00., 129/00., 51/01., 111/03., 190/03., 105/04., 84/05., 71/06., 110/07., 152/08., 57/11., 77/11. i 143/12.)</w:t>
      </w:r>
    </w:p>
    <w:p w:rsidR="00F26C86" w:rsidRDefault="00F26C86" w:rsidP="00F26C86">
      <w:pPr>
        <w:widowControl w:val="0"/>
        <w:tabs>
          <w:tab w:val="left" w:pos="567"/>
          <w:tab w:val="left" w:pos="709"/>
        </w:tabs>
        <w:ind w:left="567" w:hanging="283"/>
        <w:rPr>
          <w:rFonts w:ascii="Arial" w:eastAsia="Arial" w:hAnsi="Arial" w:cs="Arial"/>
          <w:sz w:val="20"/>
          <w:szCs w:val="20"/>
        </w:rPr>
      </w:pPr>
    </w:p>
    <w:p w:rsidR="00F26C86" w:rsidRDefault="00F26C86" w:rsidP="00F26C86">
      <w:pPr>
        <w:pStyle w:val="ListParagraph"/>
        <w:numPr>
          <w:ilvl w:val="0"/>
          <w:numId w:val="1"/>
        </w:numPr>
        <w:spacing w:after="0" w:line="240" w:lineRule="auto"/>
        <w:ind w:left="567" w:hanging="283"/>
        <w:jc w:val="both"/>
        <w:rPr>
          <w:rFonts w:ascii="Arial" w:eastAsia="Calibri" w:hAnsi="Arial" w:cs="Arial"/>
          <w:b/>
          <w:bCs/>
          <w:sz w:val="20"/>
          <w:szCs w:val="20"/>
        </w:rPr>
      </w:pPr>
      <w:r>
        <w:rPr>
          <w:rFonts w:ascii="Arial" w:hAnsi="Arial" w:cs="Arial"/>
          <w:b/>
          <w:bCs/>
          <w:sz w:val="20"/>
          <w:szCs w:val="20"/>
        </w:rPr>
        <w:t>korupciju, na temelju</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rsidR="00F26C86" w:rsidRDefault="00F26C86" w:rsidP="00F26C86">
      <w:pPr>
        <w:widowControl w:val="0"/>
        <w:tabs>
          <w:tab w:val="left" w:pos="567"/>
          <w:tab w:val="left" w:pos="709"/>
        </w:tabs>
        <w:ind w:left="567" w:hanging="283"/>
        <w:rPr>
          <w:rFonts w:ascii="Arial" w:eastAsia="Arial" w:hAnsi="Arial" w:cs="Arial"/>
          <w:sz w:val="20"/>
          <w:szCs w:val="20"/>
        </w:rPr>
      </w:pPr>
    </w:p>
    <w:p w:rsidR="00F26C86" w:rsidRDefault="00F26C86" w:rsidP="00F26C86">
      <w:pPr>
        <w:pStyle w:val="ListParagraph"/>
        <w:numPr>
          <w:ilvl w:val="0"/>
          <w:numId w:val="1"/>
        </w:numPr>
        <w:spacing w:after="0" w:line="240" w:lineRule="auto"/>
        <w:ind w:left="567" w:hanging="283"/>
        <w:jc w:val="both"/>
        <w:rPr>
          <w:rFonts w:ascii="Arial" w:eastAsia="Arial Narrow" w:hAnsi="Arial" w:cs="Arial"/>
          <w:b/>
          <w:bCs/>
          <w:sz w:val="20"/>
          <w:szCs w:val="20"/>
        </w:rPr>
      </w:pPr>
      <w:r>
        <w:rPr>
          <w:rFonts w:ascii="Arial" w:hAnsi="Arial" w:cs="Arial"/>
          <w:b/>
          <w:bCs/>
          <w:sz w:val="20"/>
          <w:szCs w:val="20"/>
        </w:rPr>
        <w:t>prijevaru, na temelju</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236. (prijevara), članka 247. (prijevara u gospodarskom poslovanju), članka 256. (utaja poreza ili carine) i članka 258. (subvencijska prijevara) Kaznenog zakona</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224. (prijevara) i članka 293. (prijevara u gospodarskom poslovanju) i članka 286. (utaja poreza i drugih davanja) iz Kaznenog zakona (»Narodne novine«, br. 110/97., 27/98., 50/00., 129/00., 51/01., 111/03., 190/03., 105/04., 84/05., 71/06., 110/07., 152/08., 57/11., 77/11. i 143/12.)</w:t>
      </w:r>
    </w:p>
    <w:p w:rsidR="00F26C86" w:rsidRDefault="00F26C86" w:rsidP="00F26C86">
      <w:pPr>
        <w:widowControl w:val="0"/>
        <w:tabs>
          <w:tab w:val="left" w:pos="567"/>
          <w:tab w:val="left" w:pos="709"/>
        </w:tabs>
        <w:ind w:left="567" w:hanging="283"/>
        <w:rPr>
          <w:rFonts w:ascii="Arial" w:eastAsia="Arial" w:hAnsi="Arial" w:cs="Arial"/>
          <w:sz w:val="20"/>
          <w:szCs w:val="20"/>
        </w:rPr>
      </w:pPr>
    </w:p>
    <w:p w:rsidR="00F26C86" w:rsidRDefault="00F26C86" w:rsidP="00F26C86">
      <w:pPr>
        <w:pStyle w:val="ListParagraph"/>
        <w:numPr>
          <w:ilvl w:val="0"/>
          <w:numId w:val="1"/>
        </w:numPr>
        <w:spacing w:after="0" w:line="240" w:lineRule="auto"/>
        <w:ind w:left="567" w:hanging="283"/>
        <w:jc w:val="both"/>
        <w:rPr>
          <w:rFonts w:ascii="Arial" w:eastAsia="Arial Narrow" w:hAnsi="Arial" w:cs="Arial"/>
          <w:b/>
          <w:bCs/>
          <w:sz w:val="20"/>
          <w:szCs w:val="20"/>
        </w:rPr>
      </w:pPr>
      <w:r>
        <w:rPr>
          <w:rFonts w:ascii="Arial" w:hAnsi="Arial" w:cs="Arial"/>
          <w:b/>
          <w:bCs/>
          <w:sz w:val="20"/>
          <w:szCs w:val="20"/>
        </w:rPr>
        <w:t>terorizam ili kaznena djela povezana s terorističkim aktivnostima, na temelju</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97. (terorizam), članka 99. (javno poticanje na terorizam), članka 100. (novačenje za terorizam), članka 101. (obuka za terorizam) i članka 102. (terorističko udruženje) Kaznenog zakona</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169. (terorizam), članka 169.a (javno poticanje na terorizam) i članka 169.b (novačenje i obuka za terorizam) iz Kaznenog zakona (»Narodne novine«, br. 110/97., 27/98., 50/00., 129/00., 51/01., 111/03., 190/03., 105/04., 84/05., 71/06., 110/07., 152/08., 57/11., 77/11. i 143/12.)</w:t>
      </w:r>
    </w:p>
    <w:p w:rsidR="00F26C86" w:rsidRDefault="00F26C86" w:rsidP="00F26C86">
      <w:pPr>
        <w:widowControl w:val="0"/>
        <w:tabs>
          <w:tab w:val="left" w:pos="567"/>
          <w:tab w:val="left" w:pos="709"/>
        </w:tabs>
        <w:ind w:left="567" w:hanging="283"/>
        <w:rPr>
          <w:rFonts w:ascii="Arial" w:eastAsia="Arial" w:hAnsi="Arial" w:cs="Arial"/>
          <w:sz w:val="20"/>
          <w:szCs w:val="20"/>
        </w:rPr>
      </w:pPr>
    </w:p>
    <w:p w:rsidR="00F26C86" w:rsidRDefault="00F26C86" w:rsidP="00F26C86">
      <w:pPr>
        <w:pStyle w:val="ListParagraph"/>
        <w:numPr>
          <w:ilvl w:val="0"/>
          <w:numId w:val="1"/>
        </w:numPr>
        <w:spacing w:after="0" w:line="240" w:lineRule="auto"/>
        <w:ind w:left="567" w:hanging="283"/>
        <w:jc w:val="both"/>
        <w:rPr>
          <w:rFonts w:ascii="Arial" w:eastAsia="Arial Narrow" w:hAnsi="Arial" w:cs="Arial"/>
          <w:b/>
          <w:bCs/>
          <w:sz w:val="20"/>
          <w:szCs w:val="20"/>
        </w:rPr>
      </w:pPr>
      <w:r>
        <w:rPr>
          <w:rFonts w:ascii="Arial" w:hAnsi="Arial" w:cs="Arial"/>
          <w:b/>
          <w:bCs/>
          <w:sz w:val="20"/>
          <w:szCs w:val="20"/>
        </w:rPr>
        <w:t>pranje novca ili financiranje terorizma, na temelju</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98. (financiranje terorizma) i članka 265. (pranje novca) Kaznenog zakona</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279.pranje novca) iz Kaznenog zakona (»Narodne novine«, br. 110/97., 27/98., 50/00., 129/00., 51/01., 111/03., 190/03., 105/04., 84/05., 71/06., 110/07., 152/08., 57/11., 77/11. i 143/12.),</w:t>
      </w:r>
    </w:p>
    <w:p w:rsidR="00F26C86" w:rsidRDefault="00F26C86" w:rsidP="00F26C86">
      <w:pPr>
        <w:widowControl w:val="0"/>
        <w:tabs>
          <w:tab w:val="left" w:pos="567"/>
          <w:tab w:val="left" w:pos="709"/>
        </w:tabs>
        <w:ind w:left="567" w:hanging="283"/>
        <w:rPr>
          <w:rFonts w:ascii="Arial" w:eastAsia="Arial" w:hAnsi="Arial" w:cs="Arial"/>
          <w:sz w:val="20"/>
          <w:szCs w:val="20"/>
        </w:rPr>
      </w:pPr>
    </w:p>
    <w:p w:rsidR="00F26C86" w:rsidRDefault="00F26C86" w:rsidP="00F26C86">
      <w:pPr>
        <w:pStyle w:val="ListParagraph"/>
        <w:numPr>
          <w:ilvl w:val="0"/>
          <w:numId w:val="1"/>
        </w:numPr>
        <w:spacing w:after="0" w:line="240" w:lineRule="auto"/>
        <w:ind w:left="567" w:hanging="283"/>
        <w:jc w:val="both"/>
        <w:rPr>
          <w:rFonts w:ascii="Arial" w:eastAsia="Arial Narrow" w:hAnsi="Arial" w:cs="Arial"/>
          <w:b/>
          <w:bCs/>
          <w:sz w:val="20"/>
          <w:szCs w:val="20"/>
        </w:rPr>
      </w:pPr>
      <w:r>
        <w:rPr>
          <w:rFonts w:ascii="Arial" w:hAnsi="Arial" w:cs="Arial"/>
          <w:b/>
          <w:bCs/>
          <w:sz w:val="20"/>
          <w:szCs w:val="20"/>
        </w:rPr>
        <w:t>dječji rad ili druge oblike trgovanja ljudima, na temelju</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106. (trgovanje ljudima) Kaznenog zakona</w:t>
      </w:r>
    </w:p>
    <w:p w:rsidR="00F26C86" w:rsidRDefault="00F26C86" w:rsidP="00F26C86">
      <w:pPr>
        <w:widowControl w:val="0"/>
        <w:numPr>
          <w:ilvl w:val="0"/>
          <w:numId w:val="2"/>
        </w:numPr>
        <w:tabs>
          <w:tab w:val="left" w:pos="567"/>
          <w:tab w:val="left" w:pos="709"/>
        </w:tabs>
        <w:spacing w:after="0" w:line="240" w:lineRule="auto"/>
        <w:ind w:left="567" w:hanging="283"/>
        <w:jc w:val="both"/>
        <w:rPr>
          <w:rFonts w:ascii="Arial" w:eastAsia="Arial" w:hAnsi="Arial" w:cs="Arial"/>
          <w:sz w:val="20"/>
          <w:szCs w:val="20"/>
        </w:rPr>
      </w:pPr>
      <w:r>
        <w:rPr>
          <w:rFonts w:ascii="Arial" w:eastAsia="Arial" w:hAnsi="Arial" w:cs="Arial"/>
          <w:sz w:val="20"/>
          <w:szCs w:val="20"/>
        </w:rPr>
        <w:t>članka 175. (trgovanje ljudima i ropstvo) iz Kaznenog zakona (»Narodne novine«, br. 110/97., 27/98., 50/00., 129/00., 51/01., 111/03., 190/03., 105/04., 84/05., 71/06., 110/07., 152/08., 57/11., 77/11. i 143/12.), ili</w:t>
      </w:r>
    </w:p>
    <w:p w:rsidR="00F26C86" w:rsidRDefault="00F26C86" w:rsidP="00F26C86">
      <w:pPr>
        <w:widowControl w:val="0"/>
        <w:tabs>
          <w:tab w:val="left" w:pos="567"/>
          <w:tab w:val="left" w:pos="709"/>
        </w:tabs>
        <w:rPr>
          <w:rFonts w:ascii="Arial" w:eastAsia="Arial" w:hAnsi="Arial" w:cs="Arial"/>
          <w:i/>
          <w:iCs/>
          <w:sz w:val="20"/>
          <w:szCs w:val="20"/>
        </w:rPr>
      </w:pPr>
      <w:r>
        <w:rPr>
          <w:rFonts w:ascii="Arial" w:eastAsia="Arial" w:hAnsi="Arial" w:cs="Arial"/>
          <w:i/>
          <w:iCs/>
          <w:sz w:val="20"/>
          <w:szCs w:val="20"/>
        </w:rPr>
        <w:t>(u slučaju da gore navedeni gospodarski subjekt nema poslovni nastan u Republici Hrvatskoj i/ili neka od osoba koja je član upravnog, upravljačkog ili nadzornog tijela ili ima ovlasti zastupanja, donošenja odluka ili nadzora gore navedenog gospodarskog subjekta nije državljanin Republike Hrvatske)</w:t>
      </w:r>
    </w:p>
    <w:p w:rsidR="00F26C86" w:rsidRDefault="00F26C86" w:rsidP="00F26C86">
      <w:pPr>
        <w:pStyle w:val="ListParagraph"/>
        <w:numPr>
          <w:ilvl w:val="0"/>
          <w:numId w:val="3"/>
        </w:numPr>
        <w:spacing w:after="0" w:line="240" w:lineRule="auto"/>
        <w:ind w:left="567" w:hanging="283"/>
        <w:jc w:val="both"/>
        <w:rPr>
          <w:rFonts w:ascii="Arial" w:eastAsia="Calibri" w:hAnsi="Arial" w:cs="Arial"/>
          <w:sz w:val="20"/>
          <w:szCs w:val="20"/>
          <w:lang w:eastAsia="hr-HR"/>
        </w:rPr>
      </w:pPr>
      <w:r>
        <w:rPr>
          <w:rFonts w:ascii="Arial" w:eastAsia="Arial" w:hAnsi="Arial" w:cs="Arial"/>
          <w:sz w:val="20"/>
          <w:szCs w:val="20"/>
        </w:rPr>
        <w:t xml:space="preserve">odgovarajuća kaznena djela koja prema nacionalnim propisima države poslovnog nastana gore navedenog gospodarskog subjekta, odnosno države/a čiji su državljani osobe koje su članovi upravnog, upravljačkog ili nadzornog tijela ili imaju ovlasti zastupanja, donošenja odluka ili nadzora gore navedenog gospodarskog subjekta, i to za kaznena djela </w:t>
      </w:r>
      <w:r>
        <w:rPr>
          <w:rFonts w:ascii="Arial" w:hAnsi="Arial" w:cs="Arial"/>
          <w:sz w:val="20"/>
          <w:szCs w:val="20"/>
          <w:lang w:eastAsia="hr-HR"/>
        </w:rPr>
        <w:t>iz točke 1. podtočaka a) do f) i za odgovarajuća kaznena djela, koja prema nacionalnim propisima države poslovnog nastana gospodarskog subjekta, odnosno države čiji je osoba državljanin, obuhvaćaju razloge za isključenje iz članka 57. stavka 1. točaka a) do f) Direktive 2014/24/EU.</w:t>
      </w:r>
    </w:p>
    <w:p w:rsidR="00F26C86" w:rsidRDefault="00F26C86" w:rsidP="00F26C86">
      <w:pPr>
        <w:ind w:left="1"/>
        <w:contextualSpacing/>
        <w:rPr>
          <w:rFonts w:ascii="Arial" w:hAnsi="Arial" w:cs="Arial"/>
          <w:sz w:val="20"/>
          <w:szCs w:val="20"/>
          <w:lang w:eastAsia="hr-HR"/>
        </w:rPr>
      </w:pPr>
    </w:p>
    <w:p w:rsidR="00F26C86" w:rsidRDefault="00F26C86" w:rsidP="00F26C86">
      <w:pPr>
        <w:ind w:left="1"/>
        <w:contextualSpacing/>
        <w:rPr>
          <w:rFonts w:ascii="Arial" w:hAnsi="Arial" w:cs="Arial"/>
          <w:sz w:val="20"/>
          <w:szCs w:val="20"/>
          <w:lang w:eastAsia="hr-HR"/>
        </w:rPr>
      </w:pPr>
      <w:r>
        <w:rPr>
          <w:rFonts w:ascii="Arial" w:hAnsi="Arial" w:cs="Arial"/>
          <w:sz w:val="20"/>
          <w:szCs w:val="20"/>
          <w:lang w:eastAsia="hr-HR"/>
        </w:rPr>
        <w:t>U ___________________, ___________________ 2025. godine.</w:t>
      </w:r>
    </w:p>
    <w:p w:rsidR="00F26C86" w:rsidRDefault="00F26C86" w:rsidP="00F26C86">
      <w:pPr>
        <w:ind w:left="1"/>
        <w:contextualSpacing/>
        <w:rPr>
          <w:rFonts w:ascii="Arial" w:hAnsi="Arial" w:cs="Arial"/>
          <w:sz w:val="20"/>
          <w:szCs w:val="20"/>
          <w:lang w:eastAsia="hr-HR"/>
        </w:rPr>
      </w:pPr>
      <w:r>
        <w:rPr>
          <w:rFonts w:ascii="Arial" w:hAnsi="Arial" w:cs="Arial"/>
          <w:sz w:val="20"/>
          <w:szCs w:val="20"/>
          <w:lang w:eastAsia="hr-HR"/>
        </w:rPr>
        <w:tab/>
        <w:t>(mjesto)</w:t>
      </w:r>
      <w:r>
        <w:rPr>
          <w:rFonts w:ascii="Arial" w:hAnsi="Arial" w:cs="Arial"/>
          <w:sz w:val="20"/>
          <w:szCs w:val="20"/>
          <w:lang w:eastAsia="hr-HR"/>
        </w:rPr>
        <w:tab/>
      </w:r>
      <w:r>
        <w:rPr>
          <w:rFonts w:ascii="Arial" w:hAnsi="Arial" w:cs="Arial"/>
          <w:sz w:val="20"/>
          <w:szCs w:val="20"/>
          <w:lang w:eastAsia="hr-HR"/>
        </w:rPr>
        <w:tab/>
        <w:t>(datum)</w:t>
      </w:r>
    </w:p>
    <w:p w:rsidR="00F26C86" w:rsidRDefault="00F26C86" w:rsidP="00F26C86">
      <w:pPr>
        <w:jc w:val="right"/>
        <w:rPr>
          <w:rFonts w:ascii="Arial" w:hAnsi="Arial" w:cs="Arial"/>
          <w:sz w:val="20"/>
          <w:szCs w:val="20"/>
        </w:rPr>
      </w:pPr>
      <w:r>
        <w:rPr>
          <w:rFonts w:ascii="Arial" w:hAnsi="Arial" w:cs="Arial"/>
          <w:sz w:val="20"/>
          <w:szCs w:val="20"/>
          <w:lang w:eastAsia="hr-HR"/>
        </w:rPr>
        <w:t>___________________</w:t>
      </w:r>
    </w:p>
    <w:p w:rsidR="00F26C86" w:rsidRDefault="00F26C86" w:rsidP="00F26C86">
      <w:pPr>
        <w:ind w:left="1"/>
        <w:contextualSpacing/>
        <w:jc w:val="right"/>
        <w:rPr>
          <w:rFonts w:ascii="Arial" w:hAnsi="Arial" w:cs="Arial"/>
          <w:sz w:val="20"/>
          <w:szCs w:val="20"/>
          <w:lang w:eastAsia="hr-HR"/>
        </w:rPr>
      </w:pPr>
      <w:r>
        <w:rPr>
          <w:rFonts w:ascii="Arial" w:hAnsi="Arial" w:cs="Arial"/>
          <w:sz w:val="20"/>
          <w:szCs w:val="20"/>
          <w:lang w:eastAsia="hr-HR"/>
        </w:rPr>
        <w:t>(potpis ovlaštene osobe)</w:t>
      </w:r>
    </w:p>
    <w:p w:rsidR="00F26C86" w:rsidRDefault="00F26C86" w:rsidP="00F26C86">
      <w:pPr>
        <w:ind w:left="1"/>
        <w:contextualSpacing/>
        <w:jc w:val="right"/>
        <w:rPr>
          <w:rFonts w:ascii="Arial" w:hAnsi="Arial" w:cs="Arial"/>
          <w:sz w:val="20"/>
          <w:szCs w:val="20"/>
          <w:lang w:eastAsia="hr-HR"/>
        </w:rPr>
      </w:pPr>
    </w:p>
    <w:p w:rsidR="00F26C86" w:rsidRDefault="00F26C86" w:rsidP="00F26C86">
      <w:pPr>
        <w:ind w:left="1"/>
        <w:contextualSpacing/>
        <w:jc w:val="right"/>
        <w:rPr>
          <w:rFonts w:ascii="Arial" w:hAnsi="Arial" w:cs="Arial"/>
          <w:b/>
          <w:bCs/>
          <w:sz w:val="20"/>
          <w:szCs w:val="20"/>
          <w:lang w:eastAsia="hr-HR"/>
        </w:rPr>
      </w:pPr>
      <w:r>
        <w:rPr>
          <w:rFonts w:ascii="Arial" w:hAnsi="Arial" w:cs="Arial"/>
          <w:b/>
          <w:bCs/>
          <w:sz w:val="20"/>
          <w:szCs w:val="20"/>
          <w:lang w:eastAsia="hr-HR"/>
        </w:rPr>
        <w:t>NAPOMENA:</w:t>
      </w:r>
    </w:p>
    <w:p w:rsidR="00F26C86" w:rsidRDefault="00F26C86" w:rsidP="00F26C86">
      <w:pPr>
        <w:pStyle w:val="ListParagraph"/>
        <w:numPr>
          <w:ilvl w:val="0"/>
          <w:numId w:val="3"/>
        </w:numPr>
        <w:spacing w:after="0" w:line="240" w:lineRule="auto"/>
        <w:jc w:val="both"/>
        <w:rPr>
          <w:rFonts w:ascii="Arial" w:hAnsi="Arial" w:cs="Arial"/>
          <w:b/>
          <w:bCs/>
          <w:sz w:val="20"/>
          <w:szCs w:val="20"/>
          <w:lang w:eastAsia="hr-HR"/>
        </w:rPr>
      </w:pPr>
      <w:r>
        <w:rPr>
          <w:rFonts w:ascii="Arial" w:hAnsi="Arial" w:cs="Arial"/>
          <w:sz w:val="20"/>
          <w:szCs w:val="20"/>
          <w:lang w:eastAsia="hr-HR"/>
        </w:rPr>
        <w:t>Izjavu daje osoba ovlaštena po zakonu za samostalno i pojedinačno zastupanje gospodarskog subjekta (ili osobe koje su ovlaštene za skupno zastupanje gospodarskog subjekta) za gospodarski subjekt i za sve osobe koje su članovi upravnog, upravljačkog ili nadzornog tijela ili imaju ovlasti zastupanja, donošenja odluka ili nadzora gospodarskog subjekta.</w:t>
      </w: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F26C86" w:rsidRDefault="00F26C86" w:rsidP="00F26C86">
      <w:pPr>
        <w:pStyle w:val="NoSpacing"/>
        <w:rPr>
          <w:rFonts w:ascii="Arial" w:hAnsi="Arial" w:cs="Arial"/>
          <w:color w:val="000000"/>
          <w:sz w:val="20"/>
          <w:szCs w:val="20"/>
        </w:rPr>
      </w:pPr>
    </w:p>
    <w:p w:rsidR="00E04499" w:rsidRDefault="00E04499">
      <w:bookmarkStart w:id="0" w:name="_GoBack"/>
      <w:bookmarkEnd w:id="0"/>
    </w:p>
    <w:sectPr w:rsidR="00E044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3A3A88"/>
    <w:multiLevelType w:val="hybridMultilevel"/>
    <w:tmpl w:val="EB9C480A"/>
    <w:lvl w:ilvl="0" w:tplc="1F52D166">
      <w:start w:val="5"/>
      <w:numFmt w:val="bullet"/>
      <w:lvlText w:val="-"/>
      <w:lvlJc w:val="left"/>
      <w:pPr>
        <w:ind w:left="720" w:hanging="360"/>
      </w:pPr>
      <w:rPr>
        <w:rFonts w:ascii="Arial Narrow" w:eastAsia="Calibri" w:hAnsi="Arial Narro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70681836"/>
    <w:multiLevelType w:val="multilevel"/>
    <w:tmpl w:val="201AF4BE"/>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r-HR" w:eastAsia="hr-HR" w:bidi="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7BCA4D9D"/>
    <w:multiLevelType w:val="hybridMultilevel"/>
    <w:tmpl w:val="86DC1882"/>
    <w:lvl w:ilvl="0" w:tplc="041A0019">
      <w:start w:val="1"/>
      <w:numFmt w:val="lowerLetter"/>
      <w:lvlText w:val="%1."/>
      <w:lvlJc w:val="left"/>
      <w:pPr>
        <w:ind w:left="720" w:hanging="360"/>
      </w:pPr>
      <w:rPr>
        <w:rFonts w:eastAsia="Times New Roman"/>
        <w:b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5FF"/>
    <w:rsid w:val="004055FF"/>
    <w:rsid w:val="00E04499"/>
    <w:rsid w:val="00F26C8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E328DB-8868-4B29-B6D3-13B34A12A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C8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aliases w:val="Keki Char"/>
    <w:link w:val="NoSpacing"/>
    <w:locked/>
    <w:rsid w:val="00F26C86"/>
    <w:rPr>
      <w:rFonts w:ascii="Times New Roman" w:eastAsia="Times New Roman" w:hAnsi="Times New Roman" w:cs="Calibri"/>
      <w:lang w:eastAsia="zh-CN"/>
    </w:rPr>
  </w:style>
  <w:style w:type="paragraph" w:styleId="NoSpacing">
    <w:name w:val="No Spacing"/>
    <w:aliases w:val="Keki"/>
    <w:link w:val="NoSpacingChar"/>
    <w:qFormat/>
    <w:rsid w:val="00F26C86"/>
    <w:pPr>
      <w:suppressAutoHyphens/>
      <w:spacing w:after="0" w:line="240" w:lineRule="auto"/>
    </w:pPr>
    <w:rPr>
      <w:rFonts w:ascii="Times New Roman" w:eastAsia="Times New Roman" w:hAnsi="Times New Roman" w:cs="Calibri"/>
      <w:lang w:eastAsia="zh-CN"/>
    </w:rPr>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F26C86"/>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F26C86"/>
    <w:pPr>
      <w:spacing w:after="160" w:line="25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82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750</Words>
  <Characters>4278</Characters>
  <Application>Microsoft Office Word</Application>
  <DocSecurity>0</DocSecurity>
  <Lines>35</Lines>
  <Paragraphs>10</Paragraphs>
  <ScaleCrop>false</ScaleCrop>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Čakalović</dc:creator>
  <cp:keywords/>
  <dc:description/>
  <cp:lastModifiedBy>Anica Čakalović</cp:lastModifiedBy>
  <cp:revision>3</cp:revision>
  <dcterms:created xsi:type="dcterms:W3CDTF">2025-07-15T10:45:00Z</dcterms:created>
  <dcterms:modified xsi:type="dcterms:W3CDTF">2025-07-15T10:45:00Z</dcterms:modified>
</cp:coreProperties>
</file>